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ABAC" w14:textId="77777777" w:rsidR="00DE5238" w:rsidRPr="00D809D2" w:rsidRDefault="00DE5238" w:rsidP="00DE52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b/>
          <w:sz w:val="24"/>
          <w:szCs w:val="24"/>
          <w:lang w:eastAsia="hr-HR"/>
        </w:rPr>
        <w:t>OBRAZLOŽENJE</w:t>
      </w: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5C206B7" w14:textId="25B81FDA" w:rsidR="00535976" w:rsidRPr="00D809D2" w:rsidRDefault="00DE5238" w:rsidP="00535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80618240"/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</w:t>
      </w:r>
      <w:r w:rsidR="00552EFD"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jedloga </w:t>
      </w:r>
      <w:bookmarkStart w:id="1" w:name="_Hlk139278298"/>
      <w:r w:rsidR="00535976"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Odluke o sufinanciranju cijene utroška vode za stanovnike naselja </w:t>
      </w:r>
    </w:p>
    <w:p w14:paraId="5625EC94" w14:textId="0F888E53" w:rsidR="00DE5238" w:rsidRPr="00D809D2" w:rsidRDefault="00535976" w:rsidP="00535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Vela Učka i Gornje selo (Mala Učka) u 2024.godini</w:t>
      </w:r>
    </w:p>
    <w:bookmarkEnd w:id="0"/>
    <w:bookmarkEnd w:id="1"/>
    <w:p w14:paraId="07F1D6CA" w14:textId="77777777" w:rsidR="00DE5238" w:rsidRPr="00D809D2" w:rsidRDefault="00DE5238" w:rsidP="00DE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63C9C1DF" w14:textId="77777777" w:rsidR="00DE5238" w:rsidRPr="00D809D2" w:rsidRDefault="00DE5238" w:rsidP="00DE5238">
      <w:pPr>
        <w:widowControl w:val="0"/>
        <w:tabs>
          <w:tab w:val="left" w:pos="53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2" w:name="_Hlk130575701"/>
      <w:r w:rsidRPr="00D809D2">
        <w:rPr>
          <w:rFonts w:ascii="Times New Roman" w:hAnsi="Times New Roman" w:cs="Times New Roman"/>
          <w:b/>
          <w:sz w:val="24"/>
          <w:szCs w:val="24"/>
          <w:lang w:eastAsia="hr-HR"/>
        </w:rPr>
        <w:t>PRAVNI OSNOV ZA DONOŠENJE ODLUKE</w:t>
      </w:r>
      <w:r w:rsidRPr="00D809D2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</w:p>
    <w:p w14:paraId="58FE0B9E" w14:textId="6A86265F" w:rsidR="0007533E" w:rsidRPr="00D809D2" w:rsidRDefault="00DE5238" w:rsidP="00DE52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 xml:space="preserve">Pravni </w:t>
      </w:r>
      <w:proofErr w:type="spellStart"/>
      <w:r w:rsidRPr="00D809D2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D809D2">
        <w:rPr>
          <w:rFonts w:ascii="Times New Roman" w:hAnsi="Times New Roman" w:cs="Times New Roman"/>
          <w:sz w:val="24"/>
          <w:szCs w:val="24"/>
        </w:rPr>
        <w:t xml:space="preserve"> za donošenje ove Odluke predstavlja Statut Grada Opatije</w:t>
      </w:r>
      <w:r w:rsidR="007D47DE" w:rsidRPr="00D809D2">
        <w:rPr>
          <w:rFonts w:ascii="Times New Roman" w:hAnsi="Times New Roman" w:cs="Times New Roman"/>
          <w:sz w:val="24"/>
          <w:szCs w:val="24"/>
        </w:rPr>
        <w:t xml:space="preserve"> kojim je u članku 29.</w:t>
      </w:r>
      <w:r w:rsidR="00E26F44" w:rsidRPr="00D809D2">
        <w:rPr>
          <w:rFonts w:ascii="Times New Roman" w:hAnsi="Times New Roman" w:cs="Times New Roman"/>
          <w:sz w:val="24"/>
          <w:szCs w:val="24"/>
        </w:rPr>
        <w:t xml:space="preserve"> </w:t>
      </w:r>
      <w:r w:rsidR="007D47DE" w:rsidRPr="00D809D2">
        <w:rPr>
          <w:rFonts w:ascii="Times New Roman" w:hAnsi="Times New Roman" w:cs="Times New Roman"/>
          <w:sz w:val="24"/>
          <w:szCs w:val="24"/>
        </w:rPr>
        <w:t>propisano da Gradsko vijeće donosi odluke i druge opće i pojedinačne akte koji su mu stavljeni u djelokrug zakonom i podzakonskim aktima</w:t>
      </w:r>
      <w:r w:rsidRPr="00D809D2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6A6CF11" w14:textId="77777777" w:rsidR="007D47DE" w:rsidRPr="00D809D2" w:rsidRDefault="007D47DE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9A439ED" w14:textId="5496C23F" w:rsidR="00DE5238" w:rsidRPr="00D809D2" w:rsidRDefault="00DE5238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ANALIZA STANJA</w:t>
      </w:r>
    </w:p>
    <w:p w14:paraId="191287A9" w14:textId="77777777" w:rsidR="00A8187E" w:rsidRPr="00D809D2" w:rsidRDefault="00A8187E" w:rsidP="00857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3" w:name="_Hlk32736378"/>
    </w:p>
    <w:p w14:paraId="49ACFA8F" w14:textId="7D289614" w:rsidR="00857FB2" w:rsidRPr="00D809D2" w:rsidRDefault="007D47DE" w:rsidP="00857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Naselja </w:t>
      </w:r>
      <w:r w:rsidR="00535976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Vela Učka i Gornje selo (Mala Učka) obuhvaćaju područja Grada Opatije u kojima živi mali broj stanovnika, </w:t>
      </w:r>
      <w:r w:rsidR="00A8187E" w:rsidRPr="00D809D2">
        <w:rPr>
          <w:rFonts w:ascii="Times New Roman" w:hAnsi="Times New Roman" w:cs="Times New Roman"/>
          <w:sz w:val="24"/>
          <w:szCs w:val="24"/>
          <w:lang w:eastAsia="hr-HR"/>
        </w:rPr>
        <w:t>i gdje</w:t>
      </w:r>
      <w:r w:rsidR="00535976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je, uslijed dislociranosti, nadmorske visine, </w:t>
      </w:r>
      <w:r w:rsidR="00A8187E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vremenskih uvjeta, </w:t>
      </w:r>
      <w:r w:rsidR="00535976" w:rsidRPr="00D809D2">
        <w:rPr>
          <w:rFonts w:ascii="Times New Roman" w:hAnsi="Times New Roman" w:cs="Times New Roman"/>
          <w:sz w:val="24"/>
          <w:szCs w:val="24"/>
          <w:lang w:eastAsia="hr-HR"/>
        </w:rPr>
        <w:t>komunalne opremljenosti, nedosta</w:t>
      </w:r>
      <w:r w:rsidR="001266B0" w:rsidRPr="00D809D2">
        <w:rPr>
          <w:rFonts w:ascii="Times New Roman" w:hAnsi="Times New Roman" w:cs="Times New Roman"/>
          <w:sz w:val="24"/>
          <w:szCs w:val="24"/>
          <w:lang w:eastAsia="hr-HR"/>
        </w:rPr>
        <w:t>t</w:t>
      </w:r>
      <w:r w:rsidR="00535976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ka javnog prijevoza i drugih specifičnosti, život stanovnika u odnosu na ostala područja Grada Opatije u bitnome puno teži. </w:t>
      </w:r>
    </w:p>
    <w:p w14:paraId="1A3D143C" w14:textId="42E6241D" w:rsidR="00535976" w:rsidRPr="00D809D2" w:rsidRDefault="00535976" w:rsidP="00857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>Uvažavajući tu činjenicu</w:t>
      </w:r>
      <w:r w:rsidR="000F672B" w:rsidRPr="00D809D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Grad Opatija je svojim općim aktima </w:t>
      </w:r>
      <w:r w:rsidR="000F672B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i drugim 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posebnim mjerama prepoznao te okolnosti te nastojao određenim pogodnostima, poput najniže moguće visine komunalne naknade i komunalnog doprinosa, poreza na kuće za odmor ili osiguravanjem prijevoza djece do škole, olakšati prebivanje stanovnika tog područja s ciljem njihovog ostanka.</w:t>
      </w:r>
    </w:p>
    <w:p w14:paraId="4C744BD4" w14:textId="61666F47" w:rsidR="00535976" w:rsidRPr="00D809D2" w:rsidRDefault="00535976" w:rsidP="00857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>Činj</w:t>
      </w:r>
      <w:r w:rsidR="00393FCE" w:rsidRPr="00D809D2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nica da unatoč tim mjerama prema trenutnim demografskim i sociološkim trendovima u čitavoj Republici Hrvatskoj pris</w:t>
      </w:r>
      <w:r w:rsidR="00393FCE" w:rsidRPr="00D809D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tan je značaj</w:t>
      </w:r>
      <w:r w:rsidR="00393FCE" w:rsidRPr="00D809D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n trend depopulacije posebice u ruralnim krajevima</w:t>
      </w:r>
      <w:r w:rsidR="00393FCE" w:rsidRPr="00D809D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u koja spadaju u predmetna naselja.</w:t>
      </w:r>
    </w:p>
    <w:p w14:paraId="66DDE468" w14:textId="73F0C015" w:rsidR="00535976" w:rsidRPr="00D809D2" w:rsidRDefault="00535976" w:rsidP="00857F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Stoga se, uvažavajući inicijativu vijećnika Gradskog vijeća Grada 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patije, pristup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l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o 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razradi dodatnih mjera 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>koji se predlažu ovom Odlukom.</w:t>
      </w:r>
    </w:p>
    <w:p w14:paraId="5E9FFDC4" w14:textId="7605EB5F" w:rsidR="00DE5238" w:rsidRPr="00D809D2" w:rsidRDefault="00DE5238" w:rsidP="001F3A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</w:p>
    <w:bookmarkEnd w:id="3"/>
    <w:p w14:paraId="3AD732FA" w14:textId="3C9E4192" w:rsidR="00DE5238" w:rsidRPr="00D809D2" w:rsidRDefault="004D4AD2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OBRAZLOŽENJE</w:t>
      </w:r>
      <w:r w:rsidR="00DE5238"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PRIJEDLOGA ODLUKE</w:t>
      </w:r>
    </w:p>
    <w:p w14:paraId="35EDC918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4" w:name="_Hlk75874666"/>
    </w:p>
    <w:p w14:paraId="18DA8964" w14:textId="76EB24C0" w:rsidR="001A220A" w:rsidRPr="00D809D2" w:rsidRDefault="004D4AD2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Prijedlogom 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>ove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Odluke </w:t>
      </w:r>
      <w:r w:rsidR="001F3A46"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uređuje se dodatna potpora stanovništvu naselja Vela Učka i Gornje selo (Mala Učka) kroz </w:t>
      </w:r>
      <w:r w:rsidR="001A220A" w:rsidRPr="00D809D2">
        <w:rPr>
          <w:rFonts w:ascii="Times New Roman" w:hAnsi="Times New Roman" w:cs="Times New Roman"/>
          <w:sz w:val="24"/>
          <w:szCs w:val="24"/>
          <w:lang w:eastAsia="hr-HR"/>
        </w:rPr>
        <w:t>sufinanciranje</w:t>
      </w:r>
    </w:p>
    <w:p w14:paraId="683CA4C2" w14:textId="6A9140A8" w:rsidR="001A220A" w:rsidRPr="00D809D2" w:rsidRDefault="001F3A46" w:rsidP="000F672B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cijene utroška vode</w:t>
      </w:r>
      <w:r w:rsidR="000850B8" w:rsidRPr="00D809D2">
        <w:rPr>
          <w:rFonts w:ascii="Times New Roman" w:hAnsi="Times New Roman" w:cs="Times New Roman"/>
          <w:sz w:val="24"/>
          <w:szCs w:val="24"/>
        </w:rPr>
        <w:t xml:space="preserve"> i to na način da će </w:t>
      </w:r>
      <w:r w:rsidRPr="00D809D2">
        <w:rPr>
          <w:rFonts w:ascii="Times New Roman" w:hAnsi="Times New Roman" w:cs="Times New Roman"/>
          <w:sz w:val="24"/>
          <w:szCs w:val="24"/>
        </w:rPr>
        <w:t>Grad Opatija sufinancirati će cijenu utroška vode u vis</w:t>
      </w:r>
      <w:r w:rsidR="001266B0" w:rsidRPr="00D809D2">
        <w:rPr>
          <w:rFonts w:ascii="Times New Roman" w:hAnsi="Times New Roman" w:cs="Times New Roman"/>
          <w:sz w:val="24"/>
          <w:szCs w:val="24"/>
        </w:rPr>
        <w:t>i</w:t>
      </w:r>
      <w:r w:rsidRPr="00D809D2">
        <w:rPr>
          <w:rFonts w:ascii="Times New Roman" w:hAnsi="Times New Roman" w:cs="Times New Roman"/>
          <w:sz w:val="24"/>
          <w:szCs w:val="24"/>
        </w:rPr>
        <w:t>ni od 50% cijene vode</w:t>
      </w:r>
      <w:r w:rsidR="001266B0" w:rsidRPr="00D809D2">
        <w:rPr>
          <w:rFonts w:ascii="Times New Roman" w:hAnsi="Times New Roman" w:cs="Times New Roman"/>
          <w:sz w:val="24"/>
          <w:szCs w:val="24"/>
        </w:rPr>
        <w:t>, a najviše do</w:t>
      </w:r>
      <w:r w:rsidR="0088118C" w:rsidRPr="00D809D2">
        <w:rPr>
          <w:rFonts w:ascii="Times New Roman" w:hAnsi="Times New Roman" w:cs="Times New Roman"/>
          <w:sz w:val="24"/>
          <w:szCs w:val="24"/>
        </w:rPr>
        <w:t xml:space="preserve"> utroška od </w:t>
      </w:r>
      <w:r w:rsidR="00D25DE3" w:rsidRPr="00D809D2">
        <w:rPr>
          <w:rFonts w:ascii="Times New Roman" w:hAnsi="Times New Roman" w:cs="Times New Roman"/>
          <w:sz w:val="24"/>
          <w:szCs w:val="24"/>
        </w:rPr>
        <w:t>36</w:t>
      </w:r>
      <w:r w:rsidRPr="00D809D2">
        <w:rPr>
          <w:rFonts w:ascii="Times New Roman" w:hAnsi="Times New Roman" w:cs="Times New Roman"/>
          <w:sz w:val="24"/>
          <w:szCs w:val="24"/>
        </w:rPr>
        <w:t xml:space="preserve"> kubična metra po članu kućanstva</w:t>
      </w:r>
      <w:r w:rsidR="00102CAE" w:rsidRPr="00D809D2">
        <w:rPr>
          <w:rFonts w:ascii="Times New Roman" w:hAnsi="Times New Roman" w:cs="Times New Roman"/>
          <w:sz w:val="24"/>
          <w:szCs w:val="24"/>
        </w:rPr>
        <w:t xml:space="preserve"> </w:t>
      </w:r>
      <w:r w:rsidR="00084AC3" w:rsidRPr="00D809D2">
        <w:rPr>
          <w:rFonts w:ascii="Times New Roman" w:hAnsi="Times New Roman" w:cs="Times New Roman"/>
          <w:sz w:val="24"/>
          <w:szCs w:val="24"/>
        </w:rPr>
        <w:t>godišnje,</w:t>
      </w:r>
      <w:r w:rsidRPr="00D809D2">
        <w:rPr>
          <w:rFonts w:ascii="Times New Roman" w:hAnsi="Times New Roman" w:cs="Times New Roman"/>
          <w:sz w:val="24"/>
          <w:szCs w:val="24"/>
        </w:rPr>
        <w:t xml:space="preserve"> uključivo sve obvezne naknade koje se plaćaju sukladno posebnim propisima kojima je uređeno financiranje vodnog gospodarstva te porezom na dodanu vrijednost, </w:t>
      </w:r>
      <w:r w:rsidR="00E26F44" w:rsidRPr="00D809D2">
        <w:rPr>
          <w:rFonts w:ascii="Times New Roman" w:hAnsi="Times New Roman" w:cs="Times New Roman"/>
          <w:sz w:val="24"/>
          <w:szCs w:val="24"/>
        </w:rPr>
        <w:t xml:space="preserve">kao i </w:t>
      </w:r>
    </w:p>
    <w:p w14:paraId="162EA7AB" w14:textId="4BFDF213" w:rsidR="00064B3A" w:rsidRPr="00D809D2" w:rsidRDefault="00E26F44" w:rsidP="000F672B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</w:rPr>
        <w:t>50%</w:t>
      </w:r>
      <w:r w:rsidR="001F3A46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 fiksnog dijela</w:t>
      </w:r>
      <w:r w:rsidR="001F3A46" w:rsidRPr="00D809D2">
        <w:rPr>
          <w:rFonts w:ascii="Times New Roman" w:hAnsi="Times New Roman" w:cs="Times New Roman"/>
          <w:sz w:val="24"/>
          <w:szCs w:val="24"/>
        </w:rPr>
        <w:t xml:space="preserve"> cijene vodnih usluga.</w:t>
      </w:r>
      <w:r w:rsidR="000850B8" w:rsidRPr="00D80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420D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C81991" w14:textId="776893EA" w:rsidR="00BD4515" w:rsidRPr="00D809D2" w:rsidRDefault="00102CA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>Kod određivanja maksimalne potrošnje vode uzeta je u obzir najniža količina vode nužna za osnovne potrebe kućanstva propisana člankom 39. Uredbe o metodologiji za određivanje cijene vodnih usluga (Narodne novine broj 70/23) u visini od 70 litara po stanovniku dnevno (2.1 m3 mjesečno)</w:t>
      </w:r>
      <w:r w:rsidR="00084AC3" w:rsidRPr="00D809D2">
        <w:rPr>
          <w:rFonts w:ascii="Times New Roman" w:hAnsi="Times New Roman" w:cs="Times New Roman"/>
          <w:sz w:val="24"/>
          <w:szCs w:val="24"/>
        </w:rPr>
        <w:t>, na način da je određena maksimalna potrošnja za obračun potpore od 3 m3 mjesečno što iznosi 36 m3 godišnje, a Grad bi sufinancira</w:t>
      </w:r>
      <w:r w:rsidR="00D25DE3" w:rsidRPr="00D809D2">
        <w:rPr>
          <w:rFonts w:ascii="Times New Roman" w:hAnsi="Times New Roman" w:cs="Times New Roman"/>
          <w:sz w:val="24"/>
          <w:szCs w:val="24"/>
        </w:rPr>
        <w:t>o</w:t>
      </w:r>
      <w:r w:rsidR="00084AC3" w:rsidRPr="00D809D2">
        <w:rPr>
          <w:rFonts w:ascii="Times New Roman" w:hAnsi="Times New Roman" w:cs="Times New Roman"/>
          <w:sz w:val="24"/>
          <w:szCs w:val="24"/>
        </w:rPr>
        <w:t xml:space="preserve"> 50% cijene utroška odnosno </w:t>
      </w:r>
      <w:r w:rsidR="00084AC3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dio cijene za utrošak </w:t>
      </w:r>
      <w:r w:rsidR="00AD68E7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84AC3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1,5 m3 mjesečno </w:t>
      </w:r>
      <w:r w:rsidR="00A8187E" w:rsidRPr="00D809D2">
        <w:rPr>
          <w:rFonts w:ascii="Times New Roman" w:hAnsi="Times New Roman" w:cs="Times New Roman"/>
          <w:b/>
          <w:bCs/>
          <w:sz w:val="24"/>
          <w:szCs w:val="24"/>
        </w:rPr>
        <w:t>odnosno</w:t>
      </w:r>
      <w:r w:rsidR="00084AC3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8E7" w:rsidRPr="00D809D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84AC3" w:rsidRPr="00D809D2">
        <w:rPr>
          <w:rFonts w:ascii="Times New Roman" w:hAnsi="Times New Roman" w:cs="Times New Roman"/>
          <w:b/>
          <w:bCs/>
          <w:sz w:val="24"/>
          <w:szCs w:val="24"/>
        </w:rPr>
        <w:t>18 m3 godišnje</w:t>
      </w:r>
      <w:r w:rsidR="00084AC3" w:rsidRPr="00D809D2">
        <w:rPr>
          <w:rFonts w:ascii="Times New Roman" w:hAnsi="Times New Roman" w:cs="Times New Roman"/>
          <w:sz w:val="24"/>
          <w:szCs w:val="24"/>
        </w:rPr>
        <w:t>.</w:t>
      </w:r>
      <w:r w:rsidR="00AD68E7" w:rsidRPr="00D80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58107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4682344"/>
    </w:p>
    <w:p w14:paraId="0006F6B1" w14:textId="40AF73AD" w:rsidR="004B16B8" w:rsidRPr="00D809D2" w:rsidRDefault="004B16B8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>Korisnik koji ima utrošak vode veći od propisanog maksimalnog utroška može ostvariti potporu</w:t>
      </w:r>
      <w:r w:rsidR="00A8187E" w:rsidRPr="00D809D2">
        <w:rPr>
          <w:rFonts w:ascii="Times New Roman" w:hAnsi="Times New Roman" w:cs="Times New Roman"/>
          <w:sz w:val="24"/>
          <w:szCs w:val="24"/>
        </w:rPr>
        <w:t>,</w:t>
      </w:r>
      <w:r w:rsidRPr="00D809D2">
        <w:rPr>
          <w:rFonts w:ascii="Times New Roman" w:hAnsi="Times New Roman" w:cs="Times New Roman"/>
          <w:sz w:val="24"/>
          <w:szCs w:val="24"/>
        </w:rPr>
        <w:t xml:space="preserve"> ali se potpora utvrđuje i isplaćuje za utrošak vode do propisanog maksimalnog iznosa potrošnje</w:t>
      </w:r>
      <w:bookmarkEnd w:id="5"/>
      <w:r w:rsidRPr="00D809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AC7FCB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3BC301" w14:textId="17A09E07" w:rsidR="00A8187E" w:rsidRPr="00D809D2" w:rsidRDefault="00D25DE3" w:rsidP="00A81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>U tablici je prikazan okvirni izračun potpore prema prijedlogu odluke ovisno o broju članova kućanstva</w:t>
      </w:r>
      <w:r w:rsidR="00A8187E" w:rsidRPr="00D809D2">
        <w:rPr>
          <w:rFonts w:ascii="Times New Roman" w:hAnsi="Times New Roman" w:cs="Times New Roman"/>
          <w:sz w:val="24"/>
          <w:szCs w:val="24"/>
        </w:rPr>
        <w:t>:</w:t>
      </w:r>
    </w:p>
    <w:p w14:paraId="07DB35C2" w14:textId="77777777" w:rsidR="00A8187E" w:rsidRPr="00D809D2" w:rsidRDefault="00A8187E">
      <w:pPr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br w:type="page"/>
      </w:r>
    </w:p>
    <w:p w14:paraId="45598DC5" w14:textId="77777777" w:rsidR="00D25DE3" w:rsidRPr="00D809D2" w:rsidRDefault="00D25DE3" w:rsidP="00A81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12"/>
        <w:gridCol w:w="868"/>
        <w:gridCol w:w="1017"/>
        <w:gridCol w:w="872"/>
        <w:gridCol w:w="1009"/>
        <w:gridCol w:w="582"/>
        <w:gridCol w:w="582"/>
        <w:gridCol w:w="663"/>
        <w:gridCol w:w="663"/>
        <w:gridCol w:w="663"/>
        <w:gridCol w:w="663"/>
        <w:gridCol w:w="663"/>
      </w:tblGrid>
      <w:tr w:rsidR="00D809D2" w:rsidRPr="00D809D2" w14:paraId="554DD948" w14:textId="77777777" w:rsidTr="00A8187E">
        <w:trPr>
          <w:trHeight w:val="288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A710537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FIKSNI DIO CIJENE 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2CE1BC50" w14:textId="24EC630D" w:rsidR="00D25DE3" w:rsidRPr="00D809D2" w:rsidRDefault="003D4710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TRENUTNA </w:t>
            </w:r>
            <w:r w:rsidR="00D25DE3"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CIJENA VODE PO M3 SA SVIM UKLJUČENIM NAKNADAMA I PDV-OM 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14:paraId="6B021EC7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UKUPNO FIKSNI DIO GODIŠNJE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  <w:hideMark/>
          </w:tcPr>
          <w:p w14:paraId="4B63B0B4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UKUPNO VARIJABILNI DIO GODIŠNJE ZA 36M3</w:t>
            </w:r>
          </w:p>
        </w:tc>
        <w:tc>
          <w:tcPr>
            <w:tcW w:w="872" w:type="dxa"/>
            <w:vMerge w:val="restart"/>
            <w:shd w:val="clear" w:color="000000" w:fill="FFFF00"/>
            <w:vAlign w:val="center"/>
            <w:hideMark/>
          </w:tcPr>
          <w:p w14:paraId="4A7EBF55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50% FIKSNI DIO GODIŠNJE</w:t>
            </w:r>
          </w:p>
        </w:tc>
        <w:tc>
          <w:tcPr>
            <w:tcW w:w="1009" w:type="dxa"/>
            <w:vMerge w:val="restart"/>
            <w:shd w:val="clear" w:color="000000" w:fill="FFFF00"/>
            <w:vAlign w:val="center"/>
            <w:hideMark/>
          </w:tcPr>
          <w:p w14:paraId="7B7F06D4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50%  VARIJABILNI DIO GODIŠNJE (za 18 m3)</w:t>
            </w:r>
          </w:p>
        </w:tc>
        <w:tc>
          <w:tcPr>
            <w:tcW w:w="4479" w:type="dxa"/>
            <w:gridSpan w:val="7"/>
            <w:shd w:val="clear" w:color="auto" w:fill="auto"/>
            <w:noWrap/>
            <w:vAlign w:val="center"/>
            <w:hideMark/>
          </w:tcPr>
          <w:p w14:paraId="5335E2E2" w14:textId="48C3106A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Iznos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potpore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po </w:t>
            </w: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broju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članova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kućanstva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utrošak</w:t>
            </w:r>
            <w:proofErr w:type="spellEnd"/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od 36 m3 (50% = 18m3)</w:t>
            </w:r>
          </w:p>
        </w:tc>
      </w:tr>
      <w:tr w:rsidR="00D809D2" w:rsidRPr="00D809D2" w14:paraId="4FFDD3D6" w14:textId="77777777" w:rsidTr="00A8187E">
        <w:trPr>
          <w:trHeight w:val="684"/>
          <w:jc w:val="center"/>
        </w:trPr>
        <w:tc>
          <w:tcPr>
            <w:tcW w:w="708" w:type="dxa"/>
            <w:vMerge/>
            <w:vAlign w:val="center"/>
            <w:hideMark/>
          </w:tcPr>
          <w:p w14:paraId="26958F8D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52B0D961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14:paraId="6590512D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14:paraId="6C871D9C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1687E9F4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14:paraId="7726E7EA" w14:textId="77777777" w:rsidR="00D25DE3" w:rsidRPr="00D809D2" w:rsidRDefault="00D25DE3" w:rsidP="00222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A9BF7A4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C781D54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709F5AE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4231012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4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02C3FAE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C93D871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6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EE345E9" w14:textId="77777777" w:rsidR="00D25DE3" w:rsidRPr="00D809D2" w:rsidRDefault="00D25DE3" w:rsidP="00222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7</w:t>
            </w:r>
          </w:p>
        </w:tc>
      </w:tr>
      <w:tr w:rsidR="00D809D2" w:rsidRPr="00D809D2" w14:paraId="31C9C4BE" w14:textId="77777777" w:rsidTr="00A8187E">
        <w:trPr>
          <w:trHeight w:val="327"/>
          <w:jc w:val="center"/>
        </w:trPr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57B48A90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3,50</w:t>
            </w:r>
          </w:p>
        </w:tc>
        <w:tc>
          <w:tcPr>
            <w:tcW w:w="1112" w:type="dxa"/>
            <w:vMerge w:val="restart"/>
            <w:shd w:val="clear" w:color="auto" w:fill="auto"/>
            <w:noWrap/>
            <w:vAlign w:val="center"/>
            <w:hideMark/>
          </w:tcPr>
          <w:p w14:paraId="44349DA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2,1035</w:t>
            </w:r>
          </w:p>
        </w:tc>
        <w:tc>
          <w:tcPr>
            <w:tcW w:w="868" w:type="dxa"/>
            <w:vMerge w:val="restart"/>
            <w:shd w:val="clear" w:color="auto" w:fill="auto"/>
            <w:noWrap/>
            <w:vAlign w:val="center"/>
            <w:hideMark/>
          </w:tcPr>
          <w:p w14:paraId="31906290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42,00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  <w:hideMark/>
          </w:tcPr>
          <w:p w14:paraId="0B21FAD1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75,73</w:t>
            </w:r>
          </w:p>
        </w:tc>
        <w:tc>
          <w:tcPr>
            <w:tcW w:w="872" w:type="dxa"/>
            <w:vMerge w:val="restart"/>
            <w:shd w:val="clear" w:color="000000" w:fill="FFFF00"/>
            <w:noWrap/>
            <w:vAlign w:val="center"/>
            <w:hideMark/>
          </w:tcPr>
          <w:p w14:paraId="319FE8DC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1009" w:type="dxa"/>
            <w:vMerge w:val="restart"/>
            <w:shd w:val="clear" w:color="000000" w:fill="FFFF00"/>
            <w:noWrap/>
            <w:vAlign w:val="center"/>
            <w:hideMark/>
          </w:tcPr>
          <w:p w14:paraId="5EB51DF5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37,86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54B184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37,86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CEEE7DC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75,73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4419FC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113,59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49AE890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151,45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5D8A54A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189,32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34A04F0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227,18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9AC4B19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265,04</w:t>
            </w:r>
          </w:p>
        </w:tc>
      </w:tr>
      <w:tr w:rsidR="00D809D2" w:rsidRPr="00D809D2" w14:paraId="275A48E6" w14:textId="77777777" w:rsidTr="00A8187E">
        <w:trPr>
          <w:trHeight w:val="288"/>
          <w:jc w:val="center"/>
        </w:trPr>
        <w:tc>
          <w:tcPr>
            <w:tcW w:w="708" w:type="dxa"/>
            <w:vMerge/>
            <w:shd w:val="clear" w:color="auto" w:fill="auto"/>
            <w:noWrap/>
            <w:vAlign w:val="center"/>
          </w:tcPr>
          <w:p w14:paraId="248D6B8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12" w:type="dxa"/>
            <w:vMerge/>
            <w:shd w:val="clear" w:color="auto" w:fill="auto"/>
            <w:noWrap/>
            <w:vAlign w:val="center"/>
          </w:tcPr>
          <w:p w14:paraId="60626D29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68" w:type="dxa"/>
            <w:vMerge/>
            <w:shd w:val="clear" w:color="auto" w:fill="auto"/>
            <w:noWrap/>
            <w:vAlign w:val="center"/>
          </w:tcPr>
          <w:p w14:paraId="3B029F4D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17" w:type="dxa"/>
            <w:vMerge/>
            <w:shd w:val="clear" w:color="auto" w:fill="auto"/>
            <w:noWrap/>
            <w:vAlign w:val="center"/>
          </w:tcPr>
          <w:p w14:paraId="6EA62BE7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72" w:type="dxa"/>
            <w:vMerge/>
            <w:shd w:val="clear" w:color="000000" w:fill="FFFF00"/>
            <w:noWrap/>
            <w:vAlign w:val="center"/>
          </w:tcPr>
          <w:p w14:paraId="77EF4270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09" w:type="dxa"/>
            <w:vMerge/>
            <w:shd w:val="clear" w:color="000000" w:fill="FFFF00"/>
            <w:noWrap/>
            <w:vAlign w:val="center"/>
          </w:tcPr>
          <w:p w14:paraId="30D4B6E7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B798B4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0E09741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31773A7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5BC9BBF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FAFAC3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16E1B1D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812E14F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  <w:t>21,00</w:t>
            </w:r>
          </w:p>
        </w:tc>
      </w:tr>
      <w:tr w:rsidR="00D809D2" w:rsidRPr="00D809D2" w14:paraId="5CE3F0AD" w14:textId="77777777" w:rsidTr="00A8187E">
        <w:trPr>
          <w:trHeight w:val="288"/>
          <w:jc w:val="center"/>
        </w:trPr>
        <w:tc>
          <w:tcPr>
            <w:tcW w:w="708" w:type="dxa"/>
            <w:vMerge/>
            <w:shd w:val="clear" w:color="auto" w:fill="auto"/>
            <w:noWrap/>
            <w:vAlign w:val="center"/>
          </w:tcPr>
          <w:p w14:paraId="4DAB780B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12" w:type="dxa"/>
            <w:vMerge/>
            <w:shd w:val="clear" w:color="auto" w:fill="auto"/>
            <w:noWrap/>
            <w:vAlign w:val="center"/>
          </w:tcPr>
          <w:p w14:paraId="46292BB1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68" w:type="dxa"/>
            <w:vMerge/>
            <w:shd w:val="clear" w:color="auto" w:fill="auto"/>
            <w:noWrap/>
            <w:vAlign w:val="center"/>
          </w:tcPr>
          <w:p w14:paraId="347DFC25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17" w:type="dxa"/>
            <w:vMerge/>
            <w:shd w:val="clear" w:color="auto" w:fill="auto"/>
            <w:noWrap/>
            <w:vAlign w:val="center"/>
          </w:tcPr>
          <w:p w14:paraId="603EDEEC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872" w:type="dxa"/>
            <w:vMerge/>
            <w:shd w:val="clear" w:color="000000" w:fill="FFFF00"/>
            <w:noWrap/>
            <w:vAlign w:val="center"/>
          </w:tcPr>
          <w:p w14:paraId="66FAE883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009" w:type="dxa"/>
            <w:vMerge/>
            <w:shd w:val="clear" w:color="000000" w:fill="FFFF00"/>
            <w:noWrap/>
            <w:vAlign w:val="center"/>
          </w:tcPr>
          <w:p w14:paraId="42B6CF31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A377053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58,86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BDD2513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96,73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DE42CBC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134,59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594F22E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172,45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E1B85EE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210,32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0EDF6A4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248,18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41BE319" w14:textId="77777777" w:rsidR="00D25DE3" w:rsidRPr="00D809D2" w:rsidRDefault="00D25DE3" w:rsidP="0022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809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GB" w:eastAsia="en-GB"/>
                <w14:ligatures w14:val="none"/>
              </w:rPr>
              <w:t>286,04</w:t>
            </w:r>
          </w:p>
        </w:tc>
      </w:tr>
    </w:tbl>
    <w:p w14:paraId="2D799791" w14:textId="77777777" w:rsidR="00D25DE3" w:rsidRPr="00D809D2" w:rsidRDefault="00D25DE3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D5F5F1" w14:textId="3D4A8972" w:rsidR="00064B3A" w:rsidRPr="00D809D2" w:rsidRDefault="00064B3A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>Odluka se predl</w:t>
      </w:r>
      <w:r w:rsidR="00BD4515" w:rsidRPr="00D809D2">
        <w:rPr>
          <w:rFonts w:ascii="Times New Roman" w:hAnsi="Times New Roman" w:cs="Times New Roman"/>
          <w:sz w:val="24"/>
          <w:szCs w:val="24"/>
        </w:rPr>
        <w:t>a</w:t>
      </w:r>
      <w:r w:rsidRPr="00D809D2">
        <w:rPr>
          <w:rFonts w:ascii="Times New Roman" w:hAnsi="Times New Roman" w:cs="Times New Roman"/>
          <w:sz w:val="24"/>
          <w:szCs w:val="24"/>
        </w:rPr>
        <w:t>že donijeti za 2024.godinu te će se ovisno o njenim učincima, za iduću godinu predlagati nova odluka s istom ili modificiranom mjerom.</w:t>
      </w:r>
    </w:p>
    <w:p w14:paraId="01B92008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826F36" w14:textId="3A6F46F1" w:rsidR="00064B3A" w:rsidRPr="00D809D2" w:rsidRDefault="000850B8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>Prema prijedlogu p</w:t>
      </w:r>
      <w:r w:rsidR="001F3A46" w:rsidRPr="00D809D2">
        <w:rPr>
          <w:rFonts w:ascii="Times New Roman" w:hAnsi="Times New Roman" w:cs="Times New Roman"/>
          <w:sz w:val="24"/>
          <w:szCs w:val="24"/>
        </w:rPr>
        <w:t xml:space="preserve">ravo na sufinanciranje ostvaruje korisnik vodnih usluga koji na dan </w:t>
      </w:r>
      <w:r w:rsidR="00A8187E" w:rsidRPr="00D809D2">
        <w:rPr>
          <w:rFonts w:ascii="Times New Roman" w:hAnsi="Times New Roman" w:cs="Times New Roman"/>
          <w:sz w:val="24"/>
          <w:szCs w:val="24"/>
        </w:rPr>
        <w:t xml:space="preserve">podnošenja zahtjeva ima </w:t>
      </w:r>
      <w:r w:rsidR="001F3A46" w:rsidRPr="00D809D2">
        <w:rPr>
          <w:rFonts w:ascii="Times New Roman" w:hAnsi="Times New Roman" w:cs="Times New Roman"/>
          <w:sz w:val="24"/>
          <w:szCs w:val="24"/>
        </w:rPr>
        <w:t>evidentirano prebivalište na području naselja Vela Učka i Gornje selo (Mala Učka)</w:t>
      </w:r>
      <w:r w:rsidR="00A8187E" w:rsidRPr="00D809D2">
        <w:rPr>
          <w:rFonts w:ascii="Times New Roman" w:hAnsi="Times New Roman" w:cs="Times New Roman"/>
          <w:sz w:val="24"/>
          <w:szCs w:val="24"/>
        </w:rPr>
        <w:t>,</w:t>
      </w:r>
      <w:r w:rsidR="000D74B3" w:rsidRPr="00D809D2">
        <w:rPr>
          <w:rFonts w:ascii="Times New Roman" w:hAnsi="Times New Roman" w:cs="Times New Roman"/>
          <w:sz w:val="24"/>
          <w:szCs w:val="24"/>
        </w:rPr>
        <w:t xml:space="preserve"> pri čemu se za obračun potpore uzima u obzir broj članova kućanstva koji imaju evidentirano prebivalište adresi korisnika.</w:t>
      </w:r>
      <w:r w:rsidR="00064B3A" w:rsidRPr="00D809D2">
        <w:rPr>
          <w:rFonts w:ascii="Times New Roman" w:hAnsi="Times New Roman" w:cs="Times New Roman"/>
          <w:sz w:val="24"/>
          <w:szCs w:val="24"/>
        </w:rPr>
        <w:t xml:space="preserve"> Pravo na sufinanciranje ostvaruje se podnošenjem zahtjeva te se, na osnovu zaprimljenih zahtjeva, podnositelj</w:t>
      </w:r>
      <w:r w:rsidR="001A220A" w:rsidRPr="00D809D2">
        <w:rPr>
          <w:rFonts w:ascii="Times New Roman" w:hAnsi="Times New Roman" w:cs="Times New Roman"/>
          <w:sz w:val="24"/>
          <w:szCs w:val="24"/>
        </w:rPr>
        <w:t>ima</w:t>
      </w:r>
      <w:r w:rsidR="00064B3A" w:rsidRPr="00D809D2">
        <w:rPr>
          <w:rFonts w:ascii="Times New Roman" w:hAnsi="Times New Roman" w:cs="Times New Roman"/>
          <w:sz w:val="24"/>
          <w:szCs w:val="24"/>
        </w:rPr>
        <w:t xml:space="preserve"> zahtjeva izdaje rješenje kojim se utvrđuje pravo na potporu.</w:t>
      </w:r>
      <w:r w:rsidR="00AC6308" w:rsidRPr="00D809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2F5BD2" w14:textId="77777777" w:rsidR="00A8187E" w:rsidRPr="00D809D2" w:rsidRDefault="00A8187E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7AB376" w14:textId="76EDBCEC" w:rsidR="00064B3A" w:rsidRPr="00D809D2" w:rsidRDefault="00064B3A" w:rsidP="00A81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09D2">
        <w:rPr>
          <w:rFonts w:ascii="Times New Roman" w:hAnsi="Times New Roman" w:cs="Times New Roman"/>
          <w:sz w:val="24"/>
          <w:szCs w:val="24"/>
        </w:rPr>
        <w:t xml:space="preserve">Prijedlogom je dalje predviđeno da se korisniku potpore potpora isplaćuje </w:t>
      </w:r>
      <w:r w:rsidR="00A8187E" w:rsidRPr="00D809D2">
        <w:rPr>
          <w:rFonts w:ascii="Times New Roman" w:hAnsi="Times New Roman" w:cs="Times New Roman"/>
          <w:sz w:val="24"/>
          <w:szCs w:val="24"/>
        </w:rPr>
        <w:t xml:space="preserve">jednom godišnje na temelju podataka tvrtke Libukom </w:t>
      </w:r>
      <w:r w:rsidR="00DC60E9" w:rsidRPr="00D809D2">
        <w:rPr>
          <w:rFonts w:ascii="Times New Roman" w:hAnsi="Times New Roman" w:cs="Times New Roman"/>
          <w:sz w:val="24"/>
          <w:szCs w:val="24"/>
        </w:rPr>
        <w:t xml:space="preserve">Jurdani </w:t>
      </w:r>
      <w:r w:rsidR="00A8187E" w:rsidRPr="00D809D2">
        <w:rPr>
          <w:rFonts w:ascii="Times New Roman" w:hAnsi="Times New Roman" w:cs="Times New Roman"/>
          <w:sz w:val="24"/>
          <w:szCs w:val="24"/>
        </w:rPr>
        <w:t>d.o.o. i to nakon završetka 2024.godine (nakon što Libukom pošalje posljednji račun za prosinac 2024.), a najkasnije do 15.02.2025.godine.</w:t>
      </w:r>
      <w:r w:rsidRPr="00D809D2">
        <w:rPr>
          <w:rFonts w:ascii="Times New Roman" w:hAnsi="Times New Roman" w:cs="Times New Roman"/>
          <w:sz w:val="24"/>
          <w:szCs w:val="24"/>
        </w:rPr>
        <w:t xml:space="preserve"> </w:t>
      </w:r>
      <w:r w:rsidR="00A8187E" w:rsidRPr="00D809D2">
        <w:rPr>
          <w:rFonts w:ascii="Times New Roman" w:hAnsi="Times New Roman" w:cs="Times New Roman"/>
          <w:sz w:val="24"/>
          <w:szCs w:val="24"/>
        </w:rPr>
        <w:t xml:space="preserve">Isto je propisano da </w:t>
      </w:r>
      <w:r w:rsidRPr="00D809D2">
        <w:rPr>
          <w:rFonts w:ascii="Times New Roman" w:hAnsi="Times New Roman" w:cs="Times New Roman"/>
          <w:sz w:val="24"/>
          <w:szCs w:val="24"/>
        </w:rPr>
        <w:t>se neće isplatiti potpora u slučaju da korisnik nije podmirio sve dospjele račune za isporučene vodne usluge te druge usluge koje mu se zaračunavaju od strane trgovačkog društva Libukom d.o.o. Jurdani ( u daljnjem tekstu “Libukom d.o.o.”)</w:t>
      </w:r>
      <w:r w:rsidR="00E26F44" w:rsidRPr="00D809D2">
        <w:rPr>
          <w:rFonts w:ascii="Times New Roman" w:hAnsi="Times New Roman" w:cs="Times New Roman"/>
          <w:sz w:val="24"/>
          <w:szCs w:val="24"/>
        </w:rPr>
        <w:t xml:space="preserve">. </w:t>
      </w:r>
      <w:r w:rsidRPr="00D809D2">
        <w:rPr>
          <w:rFonts w:ascii="Times New Roman" w:hAnsi="Times New Roman" w:cs="Times New Roman"/>
          <w:sz w:val="24"/>
          <w:szCs w:val="24"/>
        </w:rPr>
        <w:t xml:space="preserve">Podatke za utvrđivanje iznosa potpore dostavljalo bi trgovačko društvo Libukom d.o.o. Jurdani koje za </w:t>
      </w:r>
      <w:proofErr w:type="spellStart"/>
      <w:r w:rsidRPr="00D809D2">
        <w:rPr>
          <w:rFonts w:ascii="Times New Roman" w:hAnsi="Times New Roman" w:cs="Times New Roman"/>
          <w:sz w:val="24"/>
          <w:szCs w:val="24"/>
        </w:rPr>
        <w:t>Liburnijske</w:t>
      </w:r>
      <w:proofErr w:type="spellEnd"/>
      <w:r w:rsidRPr="00D809D2">
        <w:rPr>
          <w:rFonts w:ascii="Times New Roman" w:hAnsi="Times New Roman" w:cs="Times New Roman"/>
          <w:sz w:val="24"/>
          <w:szCs w:val="24"/>
        </w:rPr>
        <w:t xml:space="preserve"> vode d.o.o. ob</w:t>
      </w:r>
      <w:r w:rsidR="001A220A" w:rsidRPr="00D809D2">
        <w:rPr>
          <w:rFonts w:ascii="Times New Roman" w:hAnsi="Times New Roman" w:cs="Times New Roman"/>
          <w:sz w:val="24"/>
          <w:szCs w:val="24"/>
        </w:rPr>
        <w:t>a</w:t>
      </w:r>
      <w:r w:rsidRPr="00D809D2">
        <w:rPr>
          <w:rFonts w:ascii="Times New Roman" w:hAnsi="Times New Roman" w:cs="Times New Roman"/>
          <w:sz w:val="24"/>
          <w:szCs w:val="24"/>
        </w:rPr>
        <w:t>vlja poslove ispostavljanja računa.</w:t>
      </w:r>
    </w:p>
    <w:p w14:paraId="5F6745C2" w14:textId="77777777" w:rsidR="001A220A" w:rsidRPr="00D809D2" w:rsidRDefault="001A220A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7960F71" w14:textId="4442352A" w:rsidR="00DE5238" w:rsidRPr="00D809D2" w:rsidRDefault="00DE5238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OBRAZLOŽENJE POJEDINIH ODREDBI ODLUKE</w:t>
      </w:r>
    </w:p>
    <w:p w14:paraId="42DB37EB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EFD125A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Članak 1. </w:t>
      </w:r>
    </w:p>
    <w:p w14:paraId="7DB5FAAE" w14:textId="20291AE5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>U članku 1. određuje se što se uređuje Odlukom</w:t>
      </w:r>
      <w:r w:rsidR="00411F58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te ciljevi koji se žele postići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495EEC4E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99C595B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Članak 2. </w:t>
      </w:r>
    </w:p>
    <w:p w14:paraId="5E1CDCE9" w14:textId="01D906D4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>Člankom 2. propisuj</w:t>
      </w:r>
      <w:r w:rsidR="00411F58" w:rsidRPr="00D809D2">
        <w:rPr>
          <w:rFonts w:ascii="Times New Roman" w:hAnsi="Times New Roman" w:cs="Times New Roman"/>
          <w:sz w:val="24"/>
          <w:szCs w:val="24"/>
          <w:lang w:eastAsia="en-GB"/>
        </w:rPr>
        <w:t>e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r w:rsidR="00411F58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visina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potpore te defin</w:t>
      </w:r>
      <w:r w:rsidR="001266B0" w:rsidRPr="00D809D2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ra tko ima pravo na potporu.</w:t>
      </w:r>
    </w:p>
    <w:p w14:paraId="1453C338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C74F663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3.</w:t>
      </w:r>
    </w:p>
    <w:p w14:paraId="5E1D12E6" w14:textId="06688C58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Člankom 3.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uređuje se način ostvarivanja prava na potporu.</w:t>
      </w:r>
    </w:p>
    <w:p w14:paraId="1C6AE0CB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B3E7A0D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4.</w:t>
      </w:r>
    </w:p>
    <w:p w14:paraId="36DD284E" w14:textId="7E5CEF21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Člankom 4. </w:t>
      </w:r>
      <w:r w:rsidR="00BE0288" w:rsidRPr="00D809D2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ređeno je donošenje upravnog akta kojim se odobrava odnosno utvrđuje pravo na potporu te sadržaj istoga kao i nadležno tijelo koje provodi postupak.</w:t>
      </w:r>
    </w:p>
    <w:p w14:paraId="5D5FFB2C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633A1B9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5.</w:t>
      </w:r>
    </w:p>
    <w:p w14:paraId="45D00EC6" w14:textId="0FD0CAEA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Člankom 5.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određeno je razdoblje isplate potpore kao i slučaj kada se potpora neće isplatiti.</w:t>
      </w:r>
    </w:p>
    <w:p w14:paraId="59D3903A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450FA28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6.</w:t>
      </w:r>
    </w:p>
    <w:p w14:paraId="0C77EF3A" w14:textId="06BD2B17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Člankom 6. </w:t>
      </w:r>
      <w:r w:rsidR="007539F3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propisan je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način prikupljanja podataka</w:t>
      </w:r>
      <w:r w:rsidR="005116B9" w:rsidRPr="00D809D2">
        <w:t xml:space="preserve">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za isplatu potpore</w:t>
      </w:r>
      <w:r w:rsidR="00BE0288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te </w:t>
      </w:r>
      <w:r w:rsidR="005116B9" w:rsidRPr="00D809D2">
        <w:rPr>
          <w:rFonts w:ascii="Times New Roman" w:hAnsi="Times New Roman" w:cs="Times New Roman"/>
          <w:sz w:val="24"/>
          <w:szCs w:val="24"/>
          <w:lang w:eastAsia="en-GB"/>
        </w:rPr>
        <w:t>pravna osoba koja dostavlja podatke</w:t>
      </w:r>
      <w:r w:rsidR="007539F3" w:rsidRPr="00D809D2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6C75CB0E" w14:textId="77777777" w:rsidR="007539F3" w:rsidRPr="00D809D2" w:rsidRDefault="007539F3" w:rsidP="0075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70212EB4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Članak 7. </w:t>
      </w:r>
    </w:p>
    <w:p w14:paraId="440996CB" w14:textId="1D75F80A" w:rsidR="00DE5238" w:rsidRPr="00D809D2" w:rsidRDefault="00DE5238" w:rsidP="00861E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Člankom 7. </w:t>
      </w:r>
      <w:r w:rsidR="001F3A46" w:rsidRPr="00D809D2">
        <w:rPr>
          <w:rFonts w:ascii="Times New Roman" w:hAnsi="Times New Roman" w:cs="Times New Roman"/>
          <w:sz w:val="24"/>
          <w:szCs w:val="24"/>
          <w:lang w:eastAsia="en-GB"/>
        </w:rPr>
        <w:t>uređuje se stupanje na snagu Odluke</w:t>
      </w:r>
    </w:p>
    <w:p w14:paraId="78E19F0E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029FCFB4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FINACIJSKI UČINAK</w:t>
      </w:r>
    </w:p>
    <w:p w14:paraId="59FE8737" w14:textId="5F92C49D" w:rsidR="00DE5238" w:rsidRPr="00D809D2" w:rsidRDefault="001F3A46" w:rsidP="00DE5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>Temeljem raspol</w:t>
      </w:r>
      <w:r w:rsidR="001266B0" w:rsidRPr="00D809D2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živih podataka o broju korisnika vodnih usluga na području naselja Vela Učka i Gornje selo (Mala Učka) 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>s prebivalištem na području Grada Opatije (ukupno 2</w:t>
      </w:r>
      <w:r w:rsidR="00675E8C" w:rsidRPr="00D809D2">
        <w:rPr>
          <w:rFonts w:ascii="Times New Roman" w:hAnsi="Times New Roman" w:cs="Times New Roman"/>
          <w:sz w:val="24"/>
          <w:szCs w:val="24"/>
          <w:lang w:eastAsia="en-GB"/>
        </w:rPr>
        <w:t>0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korisnik</w:t>
      </w:r>
      <w:r w:rsidR="00675E8C" w:rsidRPr="00D809D2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) 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kao </w:t>
      </w:r>
      <w:r w:rsidR="000850B8" w:rsidRPr="00D809D2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podataka o ukupnoj potrošnji </w:t>
      </w:r>
      <w:r w:rsidR="000850B8" w:rsidRPr="00D809D2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cijeni ispor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>č</w:t>
      </w:r>
      <w:r w:rsidR="001266B0" w:rsidRPr="00D809D2">
        <w:rPr>
          <w:rFonts w:ascii="Times New Roman" w:hAnsi="Times New Roman" w:cs="Times New Roman"/>
          <w:sz w:val="24"/>
          <w:szCs w:val="24"/>
          <w:lang w:eastAsia="en-GB"/>
        </w:rPr>
        <w:t>e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>nih količina vode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u 2023.godini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, procjenjuje se da će provedba ove Odluke rezultirati 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>povećanjem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850B8" w:rsidRPr="00D809D2">
        <w:rPr>
          <w:rFonts w:ascii="Times New Roman" w:hAnsi="Times New Roman" w:cs="Times New Roman"/>
          <w:sz w:val="24"/>
          <w:szCs w:val="24"/>
          <w:lang w:eastAsia="en-GB"/>
        </w:rPr>
        <w:t>proračuna na ime rashoda naknad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0850B8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 građanima i kućanstvima u iznosu od </w:t>
      </w:r>
      <w:r w:rsidR="001A220A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2.100 </w:t>
      </w:r>
      <w:proofErr w:type="spellStart"/>
      <w:r w:rsidR="000850B8" w:rsidRPr="00D809D2">
        <w:rPr>
          <w:rFonts w:ascii="Times New Roman" w:hAnsi="Times New Roman" w:cs="Times New Roman"/>
          <w:sz w:val="24"/>
          <w:szCs w:val="24"/>
          <w:lang w:eastAsia="en-GB"/>
        </w:rPr>
        <w:t>Eur-a</w:t>
      </w:r>
      <w:proofErr w:type="spellEnd"/>
      <w:r w:rsidR="00DE5238"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bookmarkEnd w:id="4"/>
    <w:p w14:paraId="149637E1" w14:textId="77777777" w:rsidR="00DE5238" w:rsidRPr="00D809D2" w:rsidRDefault="00DE5238" w:rsidP="00DE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61EA5F9E" w14:textId="1CFA3417" w:rsidR="00DE5238" w:rsidRPr="00D809D2" w:rsidRDefault="00DE5238" w:rsidP="00DE5238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STUPANJE NA SNAGU </w:t>
      </w:r>
    </w:p>
    <w:p w14:paraId="10B5A0E9" w14:textId="1B7DE195" w:rsidR="00DE5238" w:rsidRPr="00D809D2" w:rsidRDefault="00DE5238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09D2">
        <w:rPr>
          <w:rFonts w:ascii="Times New Roman" w:hAnsi="Times New Roman" w:cs="Times New Roman"/>
          <w:sz w:val="24"/>
          <w:szCs w:val="24"/>
          <w:lang w:eastAsia="en-GB"/>
        </w:rPr>
        <w:t xml:space="preserve">Vezano uz stupanje na snagu, predlaže se da ova Odluka stupi na snagu osmog dana od dana objave u „Službenim novinama </w:t>
      </w:r>
      <w:r w:rsidR="00371A2E" w:rsidRPr="00D809D2">
        <w:rPr>
          <w:rFonts w:ascii="Times New Roman" w:hAnsi="Times New Roman" w:cs="Times New Roman"/>
          <w:sz w:val="24"/>
          <w:szCs w:val="24"/>
          <w:lang w:eastAsia="en-GB"/>
        </w:rPr>
        <w:t>Grada Opatije</w:t>
      </w:r>
      <w:r w:rsidRPr="00D809D2">
        <w:rPr>
          <w:rFonts w:ascii="Times New Roman" w:hAnsi="Times New Roman" w:cs="Times New Roman"/>
          <w:sz w:val="24"/>
          <w:szCs w:val="24"/>
          <w:lang w:eastAsia="en-GB"/>
        </w:rPr>
        <w:t>“.</w:t>
      </w:r>
    </w:p>
    <w:p w14:paraId="680A30E9" w14:textId="77777777" w:rsidR="005116B9" w:rsidRPr="00D809D2" w:rsidRDefault="005116B9" w:rsidP="0006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2EABA00" w14:textId="77777777" w:rsidR="00DE5238" w:rsidRPr="00D809D2" w:rsidRDefault="00DE5238" w:rsidP="00DE5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bookmarkStart w:id="6" w:name="_Hlk130910334"/>
      <w:r w:rsidRPr="00D809D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SAVJETOVANJE S JAVNOŠĆU</w:t>
      </w:r>
    </w:p>
    <w:bookmarkEnd w:id="6"/>
    <w:p w14:paraId="5180F63A" w14:textId="7CD1F4B8" w:rsidR="00DE5238" w:rsidRPr="00D809D2" w:rsidRDefault="00DE5238" w:rsidP="00DE52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O ovom Prijedlogu </w:t>
      </w:r>
      <w:r w:rsidR="001A220A" w:rsidRPr="00D809D2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>dluke provesti će se savjetovanje s</w:t>
      </w:r>
      <w:r w:rsidR="00F6593C" w:rsidRPr="00D809D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zainteresiranom javnošću u </w:t>
      </w:r>
      <w:r w:rsidR="00F027B4" w:rsidRPr="00D809D2">
        <w:rPr>
          <w:rFonts w:ascii="Times New Roman" w:hAnsi="Times New Roman" w:cs="Times New Roman"/>
          <w:sz w:val="24"/>
          <w:szCs w:val="24"/>
          <w:lang w:eastAsia="hr-HR"/>
        </w:rPr>
        <w:t>trajanju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od 30 dana, a izvješće o provedenom savjetovanju s</w:t>
      </w:r>
      <w:r w:rsidR="00F6593C" w:rsidRPr="00D809D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D809D2">
        <w:rPr>
          <w:rFonts w:ascii="Times New Roman" w:hAnsi="Times New Roman" w:cs="Times New Roman"/>
          <w:sz w:val="24"/>
          <w:szCs w:val="24"/>
          <w:lang w:eastAsia="hr-HR"/>
        </w:rPr>
        <w:t xml:space="preserve"> zainteresiranom javnošću, zajedno s konačnim prijedlogom Odluke, dostavit će se Gradskom vijeću te objaviti na mrežnoj stranici Grada Opatije.</w:t>
      </w:r>
    </w:p>
    <w:p w14:paraId="3D043096" w14:textId="3A0605E6" w:rsidR="000D74B3" w:rsidRPr="00D809D2" w:rsidRDefault="000D74B3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  <w14:ligatures w14:val="none"/>
        </w:rPr>
      </w:pPr>
    </w:p>
    <w:p w14:paraId="36338075" w14:textId="49A89715" w:rsidR="00D25DE3" w:rsidRPr="00D809D2" w:rsidRDefault="00D25DE3">
      <w:pP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  <w14:ligatures w14:val="none"/>
        </w:rPr>
      </w:pPr>
      <w:r w:rsidRPr="00D809D2">
        <w:rPr>
          <w:u w:val="single"/>
        </w:rPr>
        <w:br w:type="page"/>
      </w:r>
    </w:p>
    <w:p w14:paraId="63B8DF56" w14:textId="77777777" w:rsidR="00393FCE" w:rsidRPr="00D809D2" w:rsidRDefault="00393FCE" w:rsidP="000A499F">
      <w:pPr>
        <w:pStyle w:val="Standard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14:paraId="6A1B858C" w14:textId="4E4EB861" w:rsidR="004B16B8" w:rsidRPr="00D809D2" w:rsidRDefault="004B16B8" w:rsidP="000A499F">
      <w:pPr>
        <w:pStyle w:val="Standard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D809D2">
        <w:rPr>
          <w:u w:val="single"/>
        </w:rPr>
        <w:t>NACRT PRIJEDLOGA ODLUKE</w:t>
      </w:r>
    </w:p>
    <w:p w14:paraId="22A1EADE" w14:textId="0EE108CE" w:rsidR="000A499F" w:rsidRPr="00D809D2" w:rsidRDefault="00716525" w:rsidP="000A499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>Na temelju članka 29. Statuta Grada Opatije („Službene novine Primorsko-goranske županije“ broj 49/23), Gradsko vijeće Grada Opatije na sjednici održanoj ____________ 2024. godine, don</w:t>
      </w:r>
      <w:r w:rsidR="007D47DE" w:rsidRPr="00D809D2">
        <w:t>ijelo je</w:t>
      </w:r>
    </w:p>
    <w:p w14:paraId="7DFF661F" w14:textId="77777777" w:rsidR="00861E98" w:rsidRPr="00D809D2" w:rsidRDefault="00861E98" w:rsidP="000A499F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0EE2A475" w14:textId="63C48EFA" w:rsidR="00716525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809D2">
        <w:rPr>
          <w:b/>
          <w:bCs/>
        </w:rPr>
        <w:t>ODLUKU</w:t>
      </w:r>
      <w:r w:rsidRPr="00D809D2">
        <w:rPr>
          <w:b/>
          <w:bCs/>
        </w:rPr>
        <w:br/>
        <w:t xml:space="preserve">o </w:t>
      </w:r>
      <w:r w:rsidR="00716525" w:rsidRPr="00D809D2">
        <w:rPr>
          <w:b/>
          <w:bCs/>
        </w:rPr>
        <w:t xml:space="preserve">sufinanciranju cijene utroška vode za stanovnike </w:t>
      </w:r>
      <w:bookmarkStart w:id="7" w:name="_Hlk163812008"/>
      <w:r w:rsidR="00716525" w:rsidRPr="00D809D2">
        <w:rPr>
          <w:b/>
          <w:bCs/>
        </w:rPr>
        <w:t xml:space="preserve">naselja </w:t>
      </w:r>
    </w:p>
    <w:p w14:paraId="674540CC" w14:textId="6A167D88" w:rsidR="004009C6" w:rsidRPr="00D809D2" w:rsidRDefault="00716525" w:rsidP="000A499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809D2">
        <w:rPr>
          <w:b/>
          <w:bCs/>
        </w:rPr>
        <w:t>Vela Učka i Gornje selo (Mala Učka)</w:t>
      </w:r>
      <w:r w:rsidR="00672B54" w:rsidRPr="00D809D2">
        <w:rPr>
          <w:b/>
          <w:bCs/>
        </w:rPr>
        <w:t xml:space="preserve"> </w:t>
      </w:r>
      <w:bookmarkEnd w:id="7"/>
      <w:r w:rsidR="00672B54" w:rsidRPr="00D809D2">
        <w:rPr>
          <w:b/>
          <w:bCs/>
        </w:rPr>
        <w:t>u 2024.godini</w:t>
      </w:r>
    </w:p>
    <w:p w14:paraId="1FD61F85" w14:textId="77777777" w:rsidR="000A499F" w:rsidRPr="00D809D2" w:rsidRDefault="000A499F" w:rsidP="000A499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66D3B0F7" w14:textId="77777777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809D2">
        <w:t>Članak 1.</w:t>
      </w:r>
    </w:p>
    <w:p w14:paraId="6238F248" w14:textId="29445D27" w:rsidR="004009C6" w:rsidRPr="00D809D2" w:rsidRDefault="00672B54" w:rsidP="001647F3">
      <w:pPr>
        <w:pStyle w:val="StandardWeb"/>
        <w:shd w:val="clear" w:color="auto" w:fill="FFFFFF"/>
        <w:jc w:val="both"/>
      </w:pPr>
      <w:r w:rsidRPr="00D809D2">
        <w:t xml:space="preserve">1) </w:t>
      </w:r>
      <w:r w:rsidR="004009C6" w:rsidRPr="00D809D2">
        <w:t>Ovom Odlukom u</w:t>
      </w:r>
      <w:r w:rsidRPr="00D809D2">
        <w:t>ređuje</w:t>
      </w:r>
      <w:r w:rsidR="004009C6" w:rsidRPr="00D809D2">
        <w:t xml:space="preserve"> se </w:t>
      </w:r>
      <w:r w:rsidR="00716525" w:rsidRPr="00D809D2">
        <w:t>potpora stanovništvu naselja Vela Učka i Gornje selo (Mala Učka) kroz sufinanciranje cijene utroška vode</w:t>
      </w:r>
      <w:r w:rsidR="00A11C03" w:rsidRPr="00D809D2">
        <w:t xml:space="preserve"> te</w:t>
      </w:r>
      <w:r w:rsidR="00716525" w:rsidRPr="00D809D2">
        <w:t xml:space="preserve"> uvjeti, mjerila i način ostvarivanja potpore</w:t>
      </w:r>
      <w:r w:rsidRPr="00D809D2">
        <w:t>.</w:t>
      </w:r>
    </w:p>
    <w:p w14:paraId="101505FE" w14:textId="240FF274" w:rsidR="000A499F" w:rsidRPr="00D809D2" w:rsidRDefault="00672B54" w:rsidP="000F672B">
      <w:pPr>
        <w:pStyle w:val="StandardWeb"/>
        <w:shd w:val="clear" w:color="auto" w:fill="FFFFFF"/>
        <w:jc w:val="both"/>
      </w:pPr>
      <w:r w:rsidRPr="00D809D2">
        <w:t xml:space="preserve">2) Cilj odluke je sprječavanje iseljavanja stanovništva te demografska obnova naselja iz </w:t>
      </w:r>
      <w:r w:rsidR="00A11C03" w:rsidRPr="00D809D2">
        <w:t>s</w:t>
      </w:r>
      <w:r w:rsidRPr="00D809D2">
        <w:t>tavka 1. ovog članka.</w:t>
      </w:r>
    </w:p>
    <w:p w14:paraId="3DB3AC57" w14:textId="77777777" w:rsidR="004009C6" w:rsidRPr="00D809D2" w:rsidRDefault="004009C6" w:rsidP="001647F3">
      <w:pPr>
        <w:pStyle w:val="StandardWeb"/>
        <w:shd w:val="clear" w:color="auto" w:fill="FFFFFF"/>
        <w:jc w:val="center"/>
      </w:pPr>
      <w:r w:rsidRPr="00D809D2">
        <w:t>Članak 2.</w:t>
      </w:r>
    </w:p>
    <w:p w14:paraId="7AAD0236" w14:textId="68A0DFA0" w:rsidR="00B16014" w:rsidRPr="00D809D2" w:rsidRDefault="007D29CE" w:rsidP="001647F3">
      <w:pPr>
        <w:pStyle w:val="StandardWeb"/>
        <w:shd w:val="clear" w:color="auto" w:fill="FFFFFF"/>
        <w:jc w:val="both"/>
      </w:pPr>
      <w:r w:rsidRPr="00D809D2">
        <w:t>1</w:t>
      </w:r>
      <w:r w:rsidR="00E947D9" w:rsidRPr="00D809D2">
        <w:t xml:space="preserve">) </w:t>
      </w:r>
      <w:bookmarkStart w:id="8" w:name="_Hlk164432147"/>
      <w:bookmarkStart w:id="9" w:name="_Hlk163818675"/>
      <w:r w:rsidR="00672B54" w:rsidRPr="00D809D2">
        <w:t xml:space="preserve">Grad Opatija </w:t>
      </w:r>
      <w:r w:rsidR="00084AC3" w:rsidRPr="00D809D2">
        <w:t xml:space="preserve">će građanima na području Grada Opatije u naseljima Vela Učka i Gornje selo (Mala Učka) </w:t>
      </w:r>
      <w:r w:rsidR="00672B54" w:rsidRPr="00D809D2">
        <w:t xml:space="preserve">sufinancirati 50% cijene </w:t>
      </w:r>
      <w:r w:rsidR="00B16014" w:rsidRPr="00D809D2">
        <w:t xml:space="preserve">isporuke </w:t>
      </w:r>
      <w:r w:rsidR="00672B54" w:rsidRPr="00D809D2">
        <w:t>vode</w:t>
      </w:r>
      <w:r w:rsidR="001266B0" w:rsidRPr="00D809D2">
        <w:t xml:space="preserve">, a najviše do </w:t>
      </w:r>
      <w:r w:rsidR="00672B54" w:rsidRPr="00D809D2">
        <w:t xml:space="preserve"> </w:t>
      </w:r>
      <w:r w:rsidR="00AC6308" w:rsidRPr="00D809D2">
        <w:t xml:space="preserve">utroška </w:t>
      </w:r>
      <w:r w:rsidR="0088118C" w:rsidRPr="00D809D2">
        <w:t xml:space="preserve">od </w:t>
      </w:r>
      <w:r w:rsidR="00D25DE3" w:rsidRPr="00D809D2">
        <w:t>36</w:t>
      </w:r>
      <w:r w:rsidR="00084AC3" w:rsidRPr="00D809D2">
        <w:t xml:space="preserve"> </w:t>
      </w:r>
      <w:r w:rsidR="00672B54" w:rsidRPr="00D809D2">
        <w:t xml:space="preserve"> kubična metra </w:t>
      </w:r>
      <w:r w:rsidR="00084AC3" w:rsidRPr="00D809D2">
        <w:t>godišnje</w:t>
      </w:r>
      <w:r w:rsidR="0080306A" w:rsidRPr="00D809D2">
        <w:t xml:space="preserve"> </w:t>
      </w:r>
      <w:r w:rsidR="00672B54" w:rsidRPr="00D809D2">
        <w:t>po članu kućanstva</w:t>
      </w:r>
      <w:r w:rsidR="00084AC3" w:rsidRPr="00D809D2">
        <w:t>,</w:t>
      </w:r>
      <w:r w:rsidR="001E77BE" w:rsidRPr="00D809D2">
        <w:t xml:space="preserve"> </w:t>
      </w:r>
      <w:r w:rsidR="00BD3869" w:rsidRPr="00D809D2">
        <w:t>te 50%</w:t>
      </w:r>
      <w:r w:rsidR="001647F3" w:rsidRPr="00D809D2">
        <w:t xml:space="preserve"> fiksnog dijela cijene vodnih usluga</w:t>
      </w:r>
      <w:r w:rsidR="00084AC3" w:rsidRPr="00D809D2">
        <w:t>, za</w:t>
      </w:r>
      <w:r w:rsidR="00B16014" w:rsidRPr="00D809D2">
        <w:t xml:space="preserve"> razdoblj</w:t>
      </w:r>
      <w:r w:rsidR="00084AC3" w:rsidRPr="00D809D2">
        <w:t>e</w:t>
      </w:r>
      <w:r w:rsidR="00B16014" w:rsidRPr="00D809D2">
        <w:t xml:space="preserve"> od 01.01. do 31.12.2024.</w:t>
      </w:r>
      <w:r w:rsidR="000F672B" w:rsidRPr="00D809D2">
        <w:t xml:space="preserve"> </w:t>
      </w:r>
      <w:r w:rsidR="00B16014" w:rsidRPr="00D809D2">
        <w:t>godine</w:t>
      </w:r>
      <w:bookmarkEnd w:id="8"/>
      <w:r w:rsidR="00B16014" w:rsidRPr="00D809D2">
        <w:t xml:space="preserve">. </w:t>
      </w:r>
    </w:p>
    <w:p w14:paraId="74ADD33E" w14:textId="1308BA42" w:rsidR="001647F3" w:rsidRPr="00D809D2" w:rsidRDefault="00B16014" w:rsidP="001647F3">
      <w:pPr>
        <w:pStyle w:val="StandardWeb"/>
        <w:shd w:val="clear" w:color="auto" w:fill="FFFFFF"/>
        <w:jc w:val="both"/>
      </w:pPr>
      <w:r w:rsidRPr="00D809D2">
        <w:t xml:space="preserve">2) </w:t>
      </w:r>
      <w:bookmarkStart w:id="10" w:name="_Hlk164432187"/>
      <w:r w:rsidRPr="00D809D2">
        <w:t>Iznos sufinanciranja uključuje cijenu vode te sve obvezne naknade koje se plaćaju sukladno posebnim propisima kojima je uređeno financiranje vodnog gospodarstva i porez na dodanu vrijednost</w:t>
      </w:r>
      <w:bookmarkEnd w:id="10"/>
      <w:r w:rsidR="00AD68E7" w:rsidRPr="00D809D2">
        <w:t>, pri čemu se kod izračuna, u slučaju promjene cijene tijekom godine uzima u obzir prosječna cijena vodnih usluga po m3.</w:t>
      </w:r>
    </w:p>
    <w:p w14:paraId="44ED3BB3" w14:textId="5A014CBD" w:rsidR="004009C6" w:rsidRPr="00D809D2" w:rsidRDefault="00B16014" w:rsidP="001647F3">
      <w:pPr>
        <w:pStyle w:val="StandardWeb"/>
        <w:shd w:val="clear" w:color="auto" w:fill="FFFFFF"/>
        <w:jc w:val="both"/>
      </w:pPr>
      <w:r w:rsidRPr="00D809D2">
        <w:t>3</w:t>
      </w:r>
      <w:r w:rsidR="00B05D5E" w:rsidRPr="00D809D2">
        <w:t xml:space="preserve">) </w:t>
      </w:r>
      <w:r w:rsidR="00672B54" w:rsidRPr="00D809D2">
        <w:t xml:space="preserve">Pravo na </w:t>
      </w:r>
      <w:r w:rsidRPr="00D809D2">
        <w:t>potporu</w:t>
      </w:r>
      <w:r w:rsidR="00672B54" w:rsidRPr="00D809D2">
        <w:t xml:space="preserve"> os</w:t>
      </w:r>
      <w:r w:rsidR="00800BD5" w:rsidRPr="00D809D2">
        <w:t>t</w:t>
      </w:r>
      <w:r w:rsidR="00672B54" w:rsidRPr="00D809D2">
        <w:t xml:space="preserve">varuje </w:t>
      </w:r>
      <w:r w:rsidR="00800BD5" w:rsidRPr="00D809D2">
        <w:t xml:space="preserve">korisnik vodnih usluga koji na dan </w:t>
      </w:r>
      <w:r w:rsidR="00A8187E" w:rsidRPr="00D809D2">
        <w:t xml:space="preserve">podnošenja zahtjeva ima </w:t>
      </w:r>
      <w:r w:rsidR="00800BD5" w:rsidRPr="00D809D2">
        <w:t xml:space="preserve">evidentirano prebivalište na području </w:t>
      </w:r>
      <w:r w:rsidR="00287160" w:rsidRPr="00D809D2">
        <w:t xml:space="preserve">Grada Opatije u </w:t>
      </w:r>
      <w:r w:rsidR="00800BD5" w:rsidRPr="00D809D2">
        <w:t>naselj</w:t>
      </w:r>
      <w:r w:rsidR="00287160" w:rsidRPr="00D809D2">
        <w:t>ima</w:t>
      </w:r>
      <w:r w:rsidR="00800BD5" w:rsidRPr="00D809D2">
        <w:t xml:space="preserve"> Vela Učka i Gornje selo (Mala Učka)</w:t>
      </w:r>
      <w:r w:rsidR="00B05D5E" w:rsidRPr="00D809D2">
        <w:t>.</w:t>
      </w:r>
      <w:r w:rsidR="001266B0" w:rsidRPr="00D809D2">
        <w:t xml:space="preserve"> </w:t>
      </w:r>
    </w:p>
    <w:p w14:paraId="75E4BAE3" w14:textId="5A306D05" w:rsidR="0080306A" w:rsidRPr="00D809D2" w:rsidRDefault="00287160" w:rsidP="001647F3">
      <w:pPr>
        <w:pStyle w:val="StandardWeb"/>
        <w:shd w:val="clear" w:color="auto" w:fill="FFFFFF"/>
        <w:jc w:val="both"/>
      </w:pPr>
      <w:r w:rsidRPr="00D809D2">
        <w:t>4) Pod korisnikom vodnih usluga iz stavka 3.</w:t>
      </w:r>
      <w:r w:rsidR="000F672B" w:rsidRPr="00D809D2">
        <w:t xml:space="preserve"> </w:t>
      </w:r>
      <w:r w:rsidRPr="00D809D2">
        <w:t>ovog članka podrazumijeva se osoba na koju glasi račun za isporuku vodnih usluga</w:t>
      </w:r>
      <w:r w:rsidR="00F027B4" w:rsidRPr="00D809D2">
        <w:t xml:space="preserve"> za objekt na kojem korisnik ima evidentirano prebivalište</w:t>
      </w:r>
      <w:r w:rsidR="001266B0" w:rsidRPr="00D809D2">
        <w:t>.</w:t>
      </w:r>
    </w:p>
    <w:p w14:paraId="53C4B958" w14:textId="2FB2198C" w:rsidR="000D74B3" w:rsidRPr="00D809D2" w:rsidRDefault="000D74B3" w:rsidP="001647F3">
      <w:pPr>
        <w:pStyle w:val="StandardWeb"/>
        <w:shd w:val="clear" w:color="auto" w:fill="FFFFFF"/>
        <w:jc w:val="both"/>
      </w:pPr>
      <w:r w:rsidRPr="00D809D2">
        <w:t>5) Pod članom kućanstva iz stavka 1. ovog članka podrazumijeva se osoba koja ima evidentirano prebivalište na adresi korisnika vodnih usluga.</w:t>
      </w:r>
    </w:p>
    <w:bookmarkEnd w:id="9"/>
    <w:p w14:paraId="22BD7923" w14:textId="2765DD5C" w:rsidR="00E947D9" w:rsidRPr="00D809D2" w:rsidRDefault="00E947D9" w:rsidP="000F672B">
      <w:pPr>
        <w:pStyle w:val="StandardWeb"/>
        <w:shd w:val="clear" w:color="auto" w:fill="FFFFFF"/>
        <w:jc w:val="center"/>
      </w:pPr>
      <w:r w:rsidRPr="00D809D2">
        <w:t>Članak 3.</w:t>
      </w:r>
    </w:p>
    <w:p w14:paraId="67AF1FCD" w14:textId="2CE76E26" w:rsidR="00E947D9" w:rsidRPr="00D809D2" w:rsidRDefault="00D37FD2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 xml:space="preserve">1) </w:t>
      </w:r>
      <w:r w:rsidR="00800BD5" w:rsidRPr="00D809D2">
        <w:t xml:space="preserve">Pravo na sufinanciranje ostvaruje se podnošenjem zahtjeva koji </w:t>
      </w:r>
      <w:bookmarkStart w:id="11" w:name="_Hlk164669990"/>
      <w:r w:rsidR="00800BD5" w:rsidRPr="00D809D2">
        <w:t>sadrži:</w:t>
      </w:r>
    </w:p>
    <w:p w14:paraId="6BB8341A" w14:textId="77777777" w:rsidR="001266B0" w:rsidRPr="00D809D2" w:rsidRDefault="00800BD5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>- ime i prezime, adresa</w:t>
      </w:r>
      <w:r w:rsidR="00552EFD" w:rsidRPr="00D809D2">
        <w:t>,</w:t>
      </w:r>
      <w:r w:rsidRPr="00D809D2">
        <w:t xml:space="preserve"> OIB</w:t>
      </w:r>
      <w:r w:rsidR="00287160" w:rsidRPr="00D809D2">
        <w:t>,</w:t>
      </w:r>
      <w:r w:rsidR="00552EFD" w:rsidRPr="00D809D2">
        <w:t xml:space="preserve"> kontakt </w:t>
      </w:r>
      <w:r w:rsidR="00287160" w:rsidRPr="00D809D2">
        <w:t xml:space="preserve">te bankovni račun </w:t>
      </w:r>
      <w:r w:rsidR="00552EFD" w:rsidRPr="00D809D2">
        <w:t>podnositelja zahtjeva</w:t>
      </w:r>
    </w:p>
    <w:p w14:paraId="6497E2DA" w14:textId="66009B66" w:rsidR="00800BD5" w:rsidRPr="00D809D2" w:rsidRDefault="001266B0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 xml:space="preserve">- </w:t>
      </w:r>
      <w:r w:rsidR="00800BD5" w:rsidRPr="00D809D2">
        <w:t>ime i prezime, adresa</w:t>
      </w:r>
      <w:r w:rsidR="00A11C03" w:rsidRPr="00D809D2">
        <w:t>,</w:t>
      </w:r>
      <w:r w:rsidR="00800BD5" w:rsidRPr="00D809D2">
        <w:t xml:space="preserve"> OIB </w:t>
      </w:r>
      <w:r w:rsidR="00A11C03" w:rsidRPr="00D809D2">
        <w:t xml:space="preserve">i srodstvo </w:t>
      </w:r>
      <w:r w:rsidR="00800BD5" w:rsidRPr="00D809D2">
        <w:t>članova kućanstva</w:t>
      </w:r>
      <w:r w:rsidR="00A11C03" w:rsidRPr="00D809D2">
        <w:t xml:space="preserve"> u odnosu na korisnika</w:t>
      </w:r>
      <w:bookmarkEnd w:id="11"/>
      <w:r w:rsidR="00A11C03" w:rsidRPr="00D809D2">
        <w:t>.</w:t>
      </w:r>
    </w:p>
    <w:p w14:paraId="722ABD3E" w14:textId="77777777" w:rsidR="00D37FD2" w:rsidRPr="00D809D2" w:rsidRDefault="00D37FD2" w:rsidP="001647F3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2021E98" w14:textId="16A5C4CD" w:rsidR="00D37FD2" w:rsidRPr="00D809D2" w:rsidRDefault="00D37FD2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 xml:space="preserve">2) Zahtjev za isplatu potpore podnosi se najkasnije do </w:t>
      </w:r>
      <w:r w:rsidR="00B16014" w:rsidRPr="00D809D2">
        <w:t>31</w:t>
      </w:r>
      <w:r w:rsidR="00552EFD" w:rsidRPr="00D809D2">
        <w:t>.1</w:t>
      </w:r>
      <w:r w:rsidR="00B16014" w:rsidRPr="00D809D2">
        <w:t>0</w:t>
      </w:r>
      <w:r w:rsidR="00552EFD" w:rsidRPr="00D809D2">
        <w:t>.2024.godine.</w:t>
      </w:r>
    </w:p>
    <w:p w14:paraId="0B3DBFA2" w14:textId="77777777" w:rsidR="004B16B8" w:rsidRPr="00D809D2" w:rsidRDefault="004B16B8" w:rsidP="001647F3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2250B1E" w14:textId="7E757712" w:rsidR="004B16B8" w:rsidRPr="00D809D2" w:rsidRDefault="004B16B8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lastRenderedPageBreak/>
        <w:t>3) Korisnik koji ima utrošak vode veći od propisanog maksimalnog utroška iz članka 2. stavka 1. ove Odluke može ostvariti potporu, ali se potpora utvrđuje i isplaćuje za utrošak vode do propisanog maksimalnog iznosa potrošnje.</w:t>
      </w:r>
    </w:p>
    <w:p w14:paraId="5C1821EF" w14:textId="77777777" w:rsidR="004009C6" w:rsidRPr="00D809D2" w:rsidRDefault="004009C6" w:rsidP="001647F3">
      <w:pPr>
        <w:pStyle w:val="StandardWeb"/>
        <w:shd w:val="clear" w:color="auto" w:fill="FFFFFF"/>
        <w:jc w:val="center"/>
      </w:pPr>
      <w:r w:rsidRPr="00D809D2">
        <w:t>Članak 4.</w:t>
      </w:r>
    </w:p>
    <w:p w14:paraId="57250917" w14:textId="046B801B" w:rsidR="001647F3" w:rsidRPr="00D809D2" w:rsidRDefault="00A11C03" w:rsidP="001647F3">
      <w:pPr>
        <w:pStyle w:val="StandardWeb"/>
        <w:shd w:val="clear" w:color="auto" w:fill="FFFFFF"/>
        <w:jc w:val="both"/>
      </w:pPr>
      <w:r w:rsidRPr="00D809D2">
        <w:t>1) Na osnovu zaprimljenih zahtjeva, podnositelju zahtjeva izdaje se rješenje kojim se utvrđuje pravo na potporu iz članka 2. ove Odluke</w:t>
      </w:r>
      <w:r w:rsidR="001647F3" w:rsidRPr="00D809D2">
        <w:t xml:space="preserve">, </w:t>
      </w:r>
      <w:bookmarkStart w:id="12" w:name="_Hlk164432704"/>
      <w:r w:rsidR="001647F3" w:rsidRPr="00D809D2">
        <w:t xml:space="preserve">maksimalna količina utrošene vode za koju </w:t>
      </w:r>
      <w:r w:rsidR="00064B3A" w:rsidRPr="00D809D2">
        <w:t>se</w:t>
      </w:r>
      <w:r w:rsidR="001647F3" w:rsidRPr="00D809D2">
        <w:t xml:space="preserve"> može ost</w:t>
      </w:r>
      <w:r w:rsidR="00064B3A" w:rsidRPr="00D809D2">
        <w:t>va</w:t>
      </w:r>
      <w:r w:rsidR="001647F3" w:rsidRPr="00D809D2">
        <w:t xml:space="preserve">riti potpora </w:t>
      </w:r>
      <w:r w:rsidRPr="00D809D2">
        <w:t>te način isplate potpore</w:t>
      </w:r>
      <w:bookmarkEnd w:id="12"/>
      <w:r w:rsidRPr="00D809D2">
        <w:t xml:space="preserve">. </w:t>
      </w:r>
    </w:p>
    <w:p w14:paraId="50AE0742" w14:textId="74686E93" w:rsidR="00A11C03" w:rsidRPr="00D809D2" w:rsidRDefault="00A11C03" w:rsidP="001647F3">
      <w:pPr>
        <w:pStyle w:val="StandardWeb"/>
        <w:shd w:val="clear" w:color="auto" w:fill="FFFFFF"/>
        <w:jc w:val="both"/>
      </w:pPr>
      <w:r w:rsidRPr="00D809D2">
        <w:t xml:space="preserve">2) Postupak obrade zahtjeva, donošenje rješenja te isplatu potpore provodi </w:t>
      </w:r>
      <w:r w:rsidR="00084AC3" w:rsidRPr="00D809D2">
        <w:t>Upravni odjel za financije i društvene djelatnosti</w:t>
      </w:r>
      <w:r w:rsidR="00167842" w:rsidRPr="00D809D2">
        <w:t xml:space="preserve"> ( u daljnjem tekstu “Nadležno tijelo”)</w:t>
      </w:r>
      <w:r w:rsidR="0035056E" w:rsidRPr="00D809D2">
        <w:t>, na osnovi podataka koje je podnositelj zahtjeva iskazao u zahtjevu kao i na osnovu podataka iz službenih evidencija Grada Opatije ili službenih evidencija drugih tijela za čije je korištenje Grad Opatija ovlašten.</w:t>
      </w:r>
    </w:p>
    <w:p w14:paraId="763ED552" w14:textId="77777777" w:rsidR="004009C6" w:rsidRPr="00D809D2" w:rsidRDefault="004009C6" w:rsidP="001647F3">
      <w:pPr>
        <w:pStyle w:val="StandardWeb"/>
        <w:shd w:val="clear" w:color="auto" w:fill="FFFFFF"/>
        <w:jc w:val="center"/>
      </w:pPr>
      <w:r w:rsidRPr="00D809D2">
        <w:t>Članak 5.</w:t>
      </w:r>
    </w:p>
    <w:p w14:paraId="145FEDB8" w14:textId="4C44F333" w:rsidR="00167842" w:rsidRPr="00D809D2" w:rsidRDefault="00A11C03" w:rsidP="001647F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809D2">
        <w:t>1</w:t>
      </w:r>
      <w:r w:rsidR="005C371A" w:rsidRPr="00D809D2">
        <w:t xml:space="preserve">) </w:t>
      </w:r>
      <w:r w:rsidR="00167842" w:rsidRPr="00D809D2">
        <w:t>Korisniku potpore potpora se</w:t>
      </w:r>
      <w:r w:rsidRPr="00D809D2">
        <w:t xml:space="preserve"> isplaćuje </w:t>
      </w:r>
      <w:bookmarkStart w:id="13" w:name="_Hlk163815660"/>
      <w:r w:rsidR="00675E8C" w:rsidRPr="00D809D2">
        <w:t xml:space="preserve">po proteku razdoblja iz članka 2. stavka 1. ove Odluke, a najkasnije </w:t>
      </w:r>
      <w:r w:rsidRPr="00D809D2">
        <w:t xml:space="preserve">do </w:t>
      </w:r>
      <w:r w:rsidR="00B16014" w:rsidRPr="00D809D2">
        <w:t>15</w:t>
      </w:r>
      <w:r w:rsidRPr="00D809D2">
        <w:t>.</w:t>
      </w:r>
      <w:r w:rsidR="00167842" w:rsidRPr="00D809D2">
        <w:t>0</w:t>
      </w:r>
      <w:r w:rsidR="00B16014" w:rsidRPr="00D809D2">
        <w:t>2</w:t>
      </w:r>
      <w:r w:rsidRPr="00D809D2">
        <w:t>.202</w:t>
      </w:r>
      <w:r w:rsidR="00167842" w:rsidRPr="00D809D2">
        <w:t>5</w:t>
      </w:r>
      <w:r w:rsidRPr="00D809D2">
        <w:t>.godine</w:t>
      </w:r>
      <w:r w:rsidR="00167842" w:rsidRPr="00D809D2">
        <w:t>.</w:t>
      </w:r>
    </w:p>
    <w:bookmarkEnd w:id="13"/>
    <w:p w14:paraId="54A706F2" w14:textId="0996D696" w:rsidR="00167842" w:rsidRPr="00D809D2" w:rsidRDefault="00B16014" w:rsidP="00771DEA">
      <w:pPr>
        <w:pStyle w:val="StandardWeb"/>
        <w:shd w:val="clear" w:color="auto" w:fill="FFFFFF"/>
        <w:jc w:val="both"/>
      </w:pPr>
      <w:r w:rsidRPr="00D809D2">
        <w:t>2</w:t>
      </w:r>
      <w:r w:rsidR="00167842" w:rsidRPr="00D809D2">
        <w:t xml:space="preserve">) Korisniku potpore neće se isplatiti potpora za utrošak vode u slučaju da nije podmirio sve dospjele račune za isporučene vodne usluge te druge usluge koje mu se zaračunavaju </w:t>
      </w:r>
      <w:r w:rsidR="00AD68E7" w:rsidRPr="00D809D2">
        <w:t xml:space="preserve">na istome računu </w:t>
      </w:r>
      <w:r w:rsidR="00167842" w:rsidRPr="00D809D2">
        <w:t>od strane trgovačkog društva Libukom d.o.o. Jurdani (u daljnjem tekstu “Libukom d.o.o.”)</w:t>
      </w:r>
      <w:r w:rsidR="00AD68E7" w:rsidRPr="00D809D2">
        <w:t xml:space="preserve">, a </w:t>
      </w:r>
      <w:r w:rsidR="00167842" w:rsidRPr="00D809D2">
        <w:t xml:space="preserve"> </w:t>
      </w:r>
      <w:r w:rsidRPr="00D809D2">
        <w:t>koji se odnose na razdoblje iz članka 2. stavka 1. ove Odluke za koje se isplaćuje potpora</w:t>
      </w:r>
      <w:r w:rsidR="00DC60E9" w:rsidRPr="00D809D2">
        <w:t>.</w:t>
      </w:r>
    </w:p>
    <w:p w14:paraId="0B66D4D3" w14:textId="77777777" w:rsidR="004009C6" w:rsidRPr="00D809D2" w:rsidRDefault="004009C6" w:rsidP="001647F3">
      <w:pPr>
        <w:pStyle w:val="StandardWeb"/>
        <w:shd w:val="clear" w:color="auto" w:fill="FFFFFF"/>
        <w:jc w:val="center"/>
      </w:pPr>
      <w:r w:rsidRPr="00D809D2">
        <w:t>Članak 6.</w:t>
      </w:r>
    </w:p>
    <w:p w14:paraId="051F74B9" w14:textId="42DDA32A" w:rsidR="004009C6" w:rsidRPr="00D809D2" w:rsidRDefault="00DE5238" w:rsidP="0080306A">
      <w:pPr>
        <w:pStyle w:val="StandardWeb"/>
        <w:shd w:val="clear" w:color="auto" w:fill="FFFFFF"/>
        <w:jc w:val="both"/>
      </w:pPr>
      <w:r w:rsidRPr="00D809D2">
        <w:t xml:space="preserve">1) </w:t>
      </w:r>
      <w:r w:rsidR="00167842" w:rsidRPr="00D809D2">
        <w:t xml:space="preserve">Nadležno tijelo </w:t>
      </w:r>
      <w:bookmarkStart w:id="14" w:name="_Hlk164432224"/>
      <w:r w:rsidR="00167842" w:rsidRPr="00D809D2">
        <w:t>potporu isplaćuje na temelju podataka dostavljeni</w:t>
      </w:r>
      <w:r w:rsidR="00A8187E" w:rsidRPr="00D809D2">
        <w:t>h</w:t>
      </w:r>
      <w:r w:rsidR="00167842" w:rsidRPr="00D809D2">
        <w:t xml:space="preserve"> od strane </w:t>
      </w:r>
      <w:bookmarkStart w:id="15" w:name="_Hlk163815594"/>
      <w:r w:rsidR="00167842" w:rsidRPr="00D809D2">
        <w:t xml:space="preserve">trgovačkog društva Libukom </w:t>
      </w:r>
      <w:r w:rsidR="00DC60E9" w:rsidRPr="00D809D2">
        <w:t xml:space="preserve">Jurdani </w:t>
      </w:r>
      <w:r w:rsidR="00167842" w:rsidRPr="00D809D2">
        <w:t>d.o.o. Jurdani</w:t>
      </w:r>
      <w:bookmarkEnd w:id="14"/>
      <w:bookmarkEnd w:id="15"/>
      <w:r w:rsidR="00060308" w:rsidRPr="00D809D2">
        <w:t>.</w:t>
      </w:r>
    </w:p>
    <w:p w14:paraId="7C216B0A" w14:textId="248CEDE5" w:rsidR="00DE5238" w:rsidRPr="00D809D2" w:rsidRDefault="00B16014" w:rsidP="00DC60E9">
      <w:pPr>
        <w:pStyle w:val="StandardWeb"/>
        <w:shd w:val="clear" w:color="auto" w:fill="FFFFFF"/>
        <w:jc w:val="both"/>
      </w:pPr>
      <w:r w:rsidRPr="00D809D2">
        <w:t xml:space="preserve">2) </w:t>
      </w:r>
      <w:bookmarkStart w:id="16" w:name="_Hlk164432288"/>
      <w:r w:rsidRPr="00D809D2">
        <w:t xml:space="preserve">Grad Opatija s trgovačkim društvom Libukom </w:t>
      </w:r>
      <w:r w:rsidR="00DC60E9" w:rsidRPr="00D809D2">
        <w:t xml:space="preserve">Jurdani </w:t>
      </w:r>
      <w:r w:rsidRPr="00D809D2">
        <w:t>d.o.o. zaključiti će sporazum o sadržaju podataka potrebnih za isplatu potpore te načinu i vremenu dostave istih</w:t>
      </w:r>
      <w:bookmarkEnd w:id="16"/>
      <w:r w:rsidRPr="00D809D2">
        <w:t>.</w:t>
      </w:r>
    </w:p>
    <w:p w14:paraId="32938571" w14:textId="7C310168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809D2">
        <w:t xml:space="preserve">Članak </w:t>
      </w:r>
      <w:r w:rsidR="001E77BE" w:rsidRPr="00D809D2">
        <w:t>7</w:t>
      </w:r>
      <w:r w:rsidRPr="00D809D2">
        <w:t>.</w:t>
      </w:r>
    </w:p>
    <w:p w14:paraId="2A01591D" w14:textId="77777777" w:rsidR="001E77BE" w:rsidRPr="00D809D2" w:rsidRDefault="001E77BE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60731338" w14:textId="2E466A0F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</w:pPr>
      <w:r w:rsidRPr="00D809D2">
        <w:t xml:space="preserve">Ova Odluka stupa na snagu osmog dana </w:t>
      </w:r>
      <w:r w:rsidR="006C5216" w:rsidRPr="00D809D2">
        <w:t>od</w:t>
      </w:r>
      <w:r w:rsidRPr="00D809D2">
        <w:t xml:space="preserve"> objave u </w:t>
      </w:r>
      <w:r w:rsidR="00675E8C" w:rsidRPr="00D809D2">
        <w:t>“</w:t>
      </w:r>
      <w:r w:rsidRPr="00D809D2">
        <w:t>Službenim novinama</w:t>
      </w:r>
      <w:r w:rsidR="001E77BE" w:rsidRPr="00D809D2">
        <w:t xml:space="preserve"> Grada Opatije</w:t>
      </w:r>
      <w:r w:rsidR="00675E8C" w:rsidRPr="00D809D2">
        <w:t>”</w:t>
      </w:r>
      <w:r w:rsidR="001E77BE" w:rsidRPr="00D809D2">
        <w:t>.</w:t>
      </w:r>
    </w:p>
    <w:p w14:paraId="50E14930" w14:textId="77777777" w:rsidR="00DE5238" w:rsidRPr="00D809D2" w:rsidRDefault="00DE5238" w:rsidP="000A499F">
      <w:pPr>
        <w:pStyle w:val="StandardWeb"/>
        <w:shd w:val="clear" w:color="auto" w:fill="FFFFFF"/>
        <w:spacing w:before="0" w:beforeAutospacing="0" w:after="0" w:afterAutospacing="0"/>
        <w:rPr>
          <w:i/>
          <w:iCs/>
        </w:rPr>
      </w:pPr>
    </w:p>
    <w:p w14:paraId="39B53D03" w14:textId="2D37CDDC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</w:pPr>
      <w:r w:rsidRPr="00D809D2">
        <w:rPr>
          <w:i/>
          <w:iCs/>
        </w:rPr>
        <w:t xml:space="preserve">KLASA: </w:t>
      </w:r>
      <w:r w:rsidR="00DE5238" w:rsidRPr="00D809D2">
        <w:rPr>
          <w:i/>
          <w:iCs/>
        </w:rPr>
        <w:t>__________________</w:t>
      </w:r>
    </w:p>
    <w:p w14:paraId="78F2649E" w14:textId="2593ABF0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</w:pPr>
      <w:r w:rsidRPr="00D809D2">
        <w:rPr>
          <w:i/>
          <w:iCs/>
        </w:rPr>
        <w:t xml:space="preserve">URBROJ: </w:t>
      </w:r>
      <w:r w:rsidR="00DE5238" w:rsidRPr="00D809D2">
        <w:rPr>
          <w:i/>
          <w:iCs/>
        </w:rPr>
        <w:t>_________________</w:t>
      </w:r>
    </w:p>
    <w:p w14:paraId="060AFB03" w14:textId="34278D15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</w:pPr>
      <w:r w:rsidRPr="00D809D2">
        <w:rPr>
          <w:i/>
          <w:iCs/>
        </w:rPr>
        <w:t xml:space="preserve">Opatija, </w:t>
      </w:r>
      <w:r w:rsidR="00DE5238" w:rsidRPr="00D809D2">
        <w:rPr>
          <w:i/>
          <w:iCs/>
        </w:rPr>
        <w:t>_________________</w:t>
      </w:r>
      <w:r w:rsidRPr="00D809D2">
        <w:rPr>
          <w:i/>
          <w:iCs/>
        </w:rPr>
        <w:t>.</w:t>
      </w:r>
    </w:p>
    <w:p w14:paraId="273AFDED" w14:textId="77777777" w:rsidR="000E5862" w:rsidRPr="00D809D2" w:rsidRDefault="000E5862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4196F151" w14:textId="77777777" w:rsidR="000E5862" w:rsidRPr="00D809D2" w:rsidRDefault="000E5862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6E4C4E12" w14:textId="1D2C2512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809D2">
        <w:t>GRADSKO VIJEĆE GRADA OPATIJE</w:t>
      </w:r>
    </w:p>
    <w:p w14:paraId="005BFA49" w14:textId="5B9098D2" w:rsidR="004009C6" w:rsidRPr="00D809D2" w:rsidRDefault="004009C6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809D2">
        <w:t>Predsjednik</w:t>
      </w:r>
      <w:r w:rsidR="00DE5238" w:rsidRPr="00D809D2">
        <w:t xml:space="preserve"> Gradskog vijeća</w:t>
      </w:r>
    </w:p>
    <w:p w14:paraId="0654492B" w14:textId="56C8B161" w:rsidR="00FF425F" w:rsidRPr="00D809D2" w:rsidRDefault="00FF425F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809D2">
        <w:t>Dušan Kotur</w:t>
      </w:r>
    </w:p>
    <w:p w14:paraId="05DE7FAD" w14:textId="77777777" w:rsidR="00771DEA" w:rsidRPr="00D809D2" w:rsidRDefault="00771DEA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538A0201" w14:textId="77777777" w:rsidR="00771DEA" w:rsidRPr="00D809D2" w:rsidRDefault="00771DEA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592CA5D3" w14:textId="77777777" w:rsidR="00771DEA" w:rsidRPr="00D809D2" w:rsidRDefault="00771DEA" w:rsidP="000A499F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198405C1" w14:textId="77777777" w:rsidR="006A6D89" w:rsidRPr="00D809D2" w:rsidRDefault="006A6D89" w:rsidP="00FF425F">
      <w:pPr>
        <w:pStyle w:val="StandardWeb"/>
        <w:shd w:val="clear" w:color="auto" w:fill="FFFFFF"/>
        <w:spacing w:before="0" w:beforeAutospacing="0" w:after="0" w:afterAutospacing="0"/>
      </w:pPr>
    </w:p>
    <w:sectPr w:rsidR="006A6D89" w:rsidRPr="00D809D2" w:rsidSect="009D40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27C6"/>
    <w:multiLevelType w:val="hybridMultilevel"/>
    <w:tmpl w:val="8D627F4A"/>
    <w:lvl w:ilvl="0" w:tplc="B4606D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C68FA"/>
    <w:multiLevelType w:val="hybridMultilevel"/>
    <w:tmpl w:val="10724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5714">
    <w:abstractNumId w:val="1"/>
  </w:num>
  <w:num w:numId="2" w16cid:durableId="72850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6"/>
    <w:rsid w:val="00060308"/>
    <w:rsid w:val="00064B3A"/>
    <w:rsid w:val="0007533E"/>
    <w:rsid w:val="00084AC3"/>
    <w:rsid w:val="000850B8"/>
    <w:rsid w:val="00090331"/>
    <w:rsid w:val="000A499F"/>
    <w:rsid w:val="000D74B3"/>
    <w:rsid w:val="000E5862"/>
    <w:rsid w:val="000F672B"/>
    <w:rsid w:val="000F7546"/>
    <w:rsid w:val="00102CAE"/>
    <w:rsid w:val="001061A6"/>
    <w:rsid w:val="001266B0"/>
    <w:rsid w:val="001377F2"/>
    <w:rsid w:val="001647F3"/>
    <w:rsid w:val="00167842"/>
    <w:rsid w:val="001A220A"/>
    <w:rsid w:val="001B46C6"/>
    <w:rsid w:val="001B79C9"/>
    <w:rsid w:val="001E77BE"/>
    <w:rsid w:val="001F3A46"/>
    <w:rsid w:val="00287160"/>
    <w:rsid w:val="0035056E"/>
    <w:rsid w:val="00371A2E"/>
    <w:rsid w:val="00393FCE"/>
    <w:rsid w:val="003D4710"/>
    <w:rsid w:val="004009C6"/>
    <w:rsid w:val="00411F58"/>
    <w:rsid w:val="00423C09"/>
    <w:rsid w:val="00471FB2"/>
    <w:rsid w:val="004B16B8"/>
    <w:rsid w:val="004D4AD2"/>
    <w:rsid w:val="005116B9"/>
    <w:rsid w:val="00515E18"/>
    <w:rsid w:val="00535976"/>
    <w:rsid w:val="00552EFD"/>
    <w:rsid w:val="00565B7D"/>
    <w:rsid w:val="005C371A"/>
    <w:rsid w:val="00672B54"/>
    <w:rsid w:val="00675E8C"/>
    <w:rsid w:val="006A6D89"/>
    <w:rsid w:val="006B4339"/>
    <w:rsid w:val="006C4FE4"/>
    <w:rsid w:val="006C5216"/>
    <w:rsid w:val="006F36B0"/>
    <w:rsid w:val="00706255"/>
    <w:rsid w:val="00716525"/>
    <w:rsid w:val="007539F3"/>
    <w:rsid w:val="00771DEA"/>
    <w:rsid w:val="007D15F7"/>
    <w:rsid w:val="007D29CE"/>
    <w:rsid w:val="007D47DE"/>
    <w:rsid w:val="00800BD5"/>
    <w:rsid w:val="0080306A"/>
    <w:rsid w:val="00854E5A"/>
    <w:rsid w:val="00857FB2"/>
    <w:rsid w:val="00861E98"/>
    <w:rsid w:val="0088118C"/>
    <w:rsid w:val="008868C2"/>
    <w:rsid w:val="008A7D25"/>
    <w:rsid w:val="00931234"/>
    <w:rsid w:val="00942035"/>
    <w:rsid w:val="009D4030"/>
    <w:rsid w:val="009E3811"/>
    <w:rsid w:val="00A11C03"/>
    <w:rsid w:val="00A222AC"/>
    <w:rsid w:val="00A26D7D"/>
    <w:rsid w:val="00A8187E"/>
    <w:rsid w:val="00AB109C"/>
    <w:rsid w:val="00AC6308"/>
    <w:rsid w:val="00AD31B2"/>
    <w:rsid w:val="00AD68E7"/>
    <w:rsid w:val="00B05D5E"/>
    <w:rsid w:val="00B16014"/>
    <w:rsid w:val="00B2747B"/>
    <w:rsid w:val="00B36491"/>
    <w:rsid w:val="00B72695"/>
    <w:rsid w:val="00BD3869"/>
    <w:rsid w:val="00BD4515"/>
    <w:rsid w:val="00BE0288"/>
    <w:rsid w:val="00BF2E7C"/>
    <w:rsid w:val="00C17482"/>
    <w:rsid w:val="00C85827"/>
    <w:rsid w:val="00CF4A53"/>
    <w:rsid w:val="00D25DE3"/>
    <w:rsid w:val="00D37FD2"/>
    <w:rsid w:val="00D45F1A"/>
    <w:rsid w:val="00D809D2"/>
    <w:rsid w:val="00DC60E9"/>
    <w:rsid w:val="00DE5238"/>
    <w:rsid w:val="00E26F44"/>
    <w:rsid w:val="00E52F6B"/>
    <w:rsid w:val="00E55F91"/>
    <w:rsid w:val="00E947D9"/>
    <w:rsid w:val="00F027B4"/>
    <w:rsid w:val="00F04E3B"/>
    <w:rsid w:val="00F36C5B"/>
    <w:rsid w:val="00F45E70"/>
    <w:rsid w:val="00F46798"/>
    <w:rsid w:val="00F6593C"/>
    <w:rsid w:val="00FE5D62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E01C"/>
  <w15:chartTrackingRefBased/>
  <w15:docId w15:val="{BFAE26A3-5D7C-4B0A-A951-A3DC547B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Reetkatablice">
    <w:name w:val="Table Grid"/>
    <w:basedOn w:val="Obinatablica"/>
    <w:uiPriority w:val="39"/>
    <w:rsid w:val="000A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2C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02C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02C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2C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2CAE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A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C0DA-EC71-4F04-A1D8-A8A8384F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Andrea Arbanasić</cp:lastModifiedBy>
  <cp:revision>2</cp:revision>
  <cp:lastPrinted>2024-05-07T05:43:00Z</cp:lastPrinted>
  <dcterms:created xsi:type="dcterms:W3CDTF">2024-05-14T08:18:00Z</dcterms:created>
  <dcterms:modified xsi:type="dcterms:W3CDTF">2024-05-14T08:18:00Z</dcterms:modified>
</cp:coreProperties>
</file>