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08981" w14:textId="1F65E48D" w:rsidR="00FF1AE1" w:rsidRPr="00EE48FD" w:rsidRDefault="00FF1AE1" w:rsidP="00B4725D">
      <w:pPr>
        <w:spacing w:after="0" w:line="240" w:lineRule="auto"/>
        <w:jc w:val="center"/>
        <w:rPr>
          <w:rFonts w:ascii="Times New Roman" w:hAnsi="Times New Roman" w:cs="Times New Roman"/>
          <w:b/>
          <w:bCs/>
          <w:sz w:val="24"/>
          <w:szCs w:val="24"/>
          <w:lang w:val="pl-PL"/>
        </w:rPr>
      </w:pPr>
      <w:r w:rsidRPr="00EE48FD">
        <w:rPr>
          <w:rFonts w:ascii="Times New Roman" w:hAnsi="Times New Roman" w:cs="Times New Roman"/>
          <w:b/>
          <w:bCs/>
          <w:sz w:val="24"/>
          <w:szCs w:val="24"/>
          <w:lang w:val="pl-PL"/>
        </w:rPr>
        <w:t>OBRAZLOŽENJE PRIJEDLOGA</w:t>
      </w:r>
    </w:p>
    <w:p w14:paraId="2A081832" w14:textId="3F599494" w:rsidR="00FF1AE1" w:rsidRPr="00EE48FD" w:rsidRDefault="00FF1AE1" w:rsidP="00B4725D">
      <w:pPr>
        <w:spacing w:after="0" w:line="240" w:lineRule="auto"/>
        <w:jc w:val="center"/>
        <w:rPr>
          <w:rFonts w:ascii="Times New Roman" w:hAnsi="Times New Roman" w:cs="Times New Roman"/>
          <w:b/>
          <w:bCs/>
          <w:sz w:val="24"/>
          <w:szCs w:val="24"/>
          <w:lang w:val="pl-PL"/>
        </w:rPr>
      </w:pPr>
      <w:r w:rsidRPr="00EE48FD">
        <w:rPr>
          <w:rFonts w:ascii="Times New Roman" w:hAnsi="Times New Roman" w:cs="Times New Roman"/>
          <w:b/>
          <w:bCs/>
          <w:sz w:val="24"/>
          <w:szCs w:val="24"/>
          <w:lang w:val="pl-PL"/>
        </w:rPr>
        <w:t>ODLUKE O KOMUNALNOJ NAKNADI</w:t>
      </w:r>
    </w:p>
    <w:p w14:paraId="1394F33C" w14:textId="77777777" w:rsidR="00FF1AE1" w:rsidRPr="00EE48FD" w:rsidRDefault="00FF1AE1" w:rsidP="00B4725D">
      <w:pPr>
        <w:spacing w:after="0" w:line="240" w:lineRule="auto"/>
        <w:rPr>
          <w:rFonts w:ascii="Times New Roman" w:hAnsi="Times New Roman" w:cs="Times New Roman"/>
          <w:b/>
          <w:bCs/>
          <w:sz w:val="24"/>
          <w:szCs w:val="24"/>
          <w:lang w:val="pl-PL"/>
        </w:rPr>
      </w:pPr>
    </w:p>
    <w:p w14:paraId="5443F9B2" w14:textId="77777777" w:rsidR="00FF1AE1" w:rsidRPr="00EE48FD" w:rsidRDefault="00FF1AE1" w:rsidP="00B4725D">
      <w:pPr>
        <w:spacing w:after="0" w:line="240" w:lineRule="auto"/>
        <w:rPr>
          <w:rFonts w:ascii="Times New Roman" w:hAnsi="Times New Roman" w:cs="Times New Roman"/>
          <w:b/>
          <w:bCs/>
          <w:sz w:val="24"/>
          <w:szCs w:val="24"/>
          <w:lang w:val="pl-PL"/>
        </w:rPr>
      </w:pPr>
      <w:r w:rsidRPr="00EE48FD">
        <w:rPr>
          <w:rFonts w:ascii="Times New Roman" w:hAnsi="Times New Roman" w:cs="Times New Roman"/>
          <w:b/>
          <w:bCs/>
          <w:sz w:val="24"/>
          <w:szCs w:val="24"/>
          <w:lang w:val="pl-PL"/>
        </w:rPr>
        <w:t>PRAVNI OSNOV</w:t>
      </w:r>
    </w:p>
    <w:p w14:paraId="54BB3262" w14:textId="77777777" w:rsidR="00C304F9" w:rsidRPr="00EE48FD" w:rsidRDefault="00C304F9" w:rsidP="00B4725D">
      <w:pPr>
        <w:spacing w:after="0" w:line="240" w:lineRule="auto"/>
        <w:rPr>
          <w:rFonts w:ascii="Times New Roman" w:hAnsi="Times New Roman" w:cs="Times New Roman"/>
          <w:b/>
          <w:bCs/>
          <w:sz w:val="24"/>
          <w:szCs w:val="24"/>
          <w:lang w:val="pl-PL"/>
        </w:rPr>
      </w:pPr>
    </w:p>
    <w:p w14:paraId="50126361" w14:textId="51A04E33" w:rsidR="00FF1AE1" w:rsidRPr="00EE48FD" w:rsidRDefault="00FF1AE1" w:rsidP="00B4725D">
      <w:pPr>
        <w:pStyle w:val="box458203"/>
        <w:spacing w:before="0" w:beforeAutospacing="0" w:after="0" w:afterAutospacing="0"/>
        <w:jc w:val="both"/>
        <w:textAlignment w:val="baseline"/>
      </w:pPr>
      <w:r w:rsidRPr="00EE48FD">
        <w:t>Pravnu osnovu za donošenje ove Odluke predstavlja članak 95. stavak 1. Zakona o komunalnom gospodarstvu („Narodne novine“ broj 68/18, 110/18, 32/20 i 145/24), u daljnjem tekstu „Zakon“, prema kojem predstavničko tijelo jedinice lokalne samouprave donosi odluku o komunalnoj naknadi, kojom se određuju:</w:t>
      </w:r>
    </w:p>
    <w:p w14:paraId="6C7B6697" w14:textId="77777777" w:rsidR="00FF1AE1" w:rsidRPr="00EE48FD" w:rsidRDefault="00FF1AE1" w:rsidP="009F7D6D">
      <w:pPr>
        <w:pStyle w:val="box458203"/>
        <w:spacing w:before="0" w:beforeAutospacing="0" w:after="0" w:afterAutospacing="0"/>
        <w:ind w:left="708"/>
        <w:jc w:val="both"/>
        <w:textAlignment w:val="baseline"/>
      </w:pPr>
      <w:r w:rsidRPr="00EE48FD">
        <w:t>1. područja zona u jedinici lokalne samouprave u kojima se naplaćuje komunalna naknada</w:t>
      </w:r>
    </w:p>
    <w:p w14:paraId="551B8D57" w14:textId="77777777" w:rsidR="00FF1AE1" w:rsidRPr="00EE48FD" w:rsidRDefault="00FF1AE1" w:rsidP="009F7D6D">
      <w:pPr>
        <w:pStyle w:val="box458203"/>
        <w:spacing w:before="0" w:beforeAutospacing="0" w:after="0" w:afterAutospacing="0"/>
        <w:ind w:left="708"/>
        <w:jc w:val="both"/>
        <w:textAlignment w:val="baseline"/>
      </w:pPr>
      <w:r w:rsidRPr="00EE48FD">
        <w:t>2. koeficijent zone (</w:t>
      </w:r>
      <w:proofErr w:type="spellStart"/>
      <w:r w:rsidRPr="00EE48FD">
        <w:t>Kz</w:t>
      </w:r>
      <w:proofErr w:type="spellEnd"/>
      <w:r w:rsidRPr="00EE48FD">
        <w:t>) za pojedine zone u jedinici lokalne samouprave u kojima se naplaćuje komunalna naknada</w:t>
      </w:r>
    </w:p>
    <w:p w14:paraId="1D0A1E65" w14:textId="77777777" w:rsidR="00FF1AE1" w:rsidRPr="00EE48FD" w:rsidRDefault="00FF1AE1" w:rsidP="00C87455">
      <w:pPr>
        <w:pStyle w:val="box458203"/>
        <w:spacing w:before="0" w:beforeAutospacing="0" w:after="0" w:afterAutospacing="0"/>
        <w:ind w:firstLine="708"/>
        <w:jc w:val="both"/>
        <w:textAlignment w:val="baseline"/>
      </w:pPr>
      <w:r w:rsidRPr="00EE48FD">
        <w:t>3. koeficijent namjene (Kn) za nekretnine za koje se plaća komunalna naknada</w:t>
      </w:r>
    </w:p>
    <w:p w14:paraId="283CCFBA" w14:textId="77777777" w:rsidR="00FF1AE1" w:rsidRPr="00EE48FD" w:rsidRDefault="00FF1AE1" w:rsidP="00C87455">
      <w:pPr>
        <w:pStyle w:val="box458203"/>
        <w:spacing w:before="0" w:beforeAutospacing="0" w:after="0" w:afterAutospacing="0"/>
        <w:ind w:firstLine="708"/>
        <w:jc w:val="both"/>
        <w:textAlignment w:val="baseline"/>
      </w:pPr>
      <w:r w:rsidRPr="00EE48FD">
        <w:t>4. rok plaćanja komunalne naknade</w:t>
      </w:r>
    </w:p>
    <w:p w14:paraId="3FF9CD8A" w14:textId="77777777" w:rsidR="00FF1AE1" w:rsidRPr="00EE48FD" w:rsidRDefault="00FF1AE1" w:rsidP="009F7D6D">
      <w:pPr>
        <w:pStyle w:val="box458203"/>
        <w:spacing w:before="0" w:beforeAutospacing="0" w:after="0" w:afterAutospacing="0"/>
        <w:ind w:left="708"/>
        <w:jc w:val="both"/>
        <w:textAlignment w:val="baseline"/>
      </w:pPr>
      <w:r w:rsidRPr="00EE48FD">
        <w:t>5. nekretnine važne za jedinicu lokalne samouprave koje se u potpunosti ili djelomično oslobađaju od plaćanja komunalne naknade</w:t>
      </w:r>
    </w:p>
    <w:p w14:paraId="76F205C1" w14:textId="31AADBA2" w:rsidR="00FF1AE1" w:rsidRPr="00EE48FD" w:rsidRDefault="00FF1AE1" w:rsidP="009F7D6D">
      <w:pPr>
        <w:pStyle w:val="box458203"/>
        <w:spacing w:before="0" w:beforeAutospacing="0" w:after="0" w:afterAutospacing="0"/>
        <w:ind w:left="708"/>
        <w:jc w:val="both"/>
        <w:textAlignment w:val="baseline"/>
      </w:pPr>
      <w:r w:rsidRPr="00EE48FD">
        <w:t>6. opći uvjeti i razlozi zbog kojih se u pojedinačnim slučajevima odobrava djelomično ili potpuno oslobađanje od plaćanja komunalne naknade.</w:t>
      </w:r>
    </w:p>
    <w:p w14:paraId="3DD3B8D2" w14:textId="77777777" w:rsidR="00FF1AE1" w:rsidRPr="00EE48FD" w:rsidRDefault="00FF1AE1" w:rsidP="00B4725D">
      <w:pPr>
        <w:pStyle w:val="box458203"/>
        <w:spacing w:before="0" w:beforeAutospacing="0" w:after="0" w:afterAutospacing="0"/>
        <w:jc w:val="both"/>
        <w:textAlignment w:val="baseline"/>
      </w:pPr>
    </w:p>
    <w:p w14:paraId="7E6625EE" w14:textId="77777777" w:rsidR="00FF1AE1" w:rsidRPr="00EE48FD" w:rsidRDefault="00FF1AE1" w:rsidP="00B4725D">
      <w:pPr>
        <w:pStyle w:val="StandardWeb"/>
        <w:shd w:val="clear" w:color="auto" w:fill="FFFFFF"/>
        <w:spacing w:before="0" w:beforeAutospacing="0" w:after="0" w:afterAutospacing="0"/>
        <w:jc w:val="both"/>
        <w:rPr>
          <w:b/>
          <w:lang w:val="hr-HR"/>
        </w:rPr>
      </w:pPr>
      <w:r w:rsidRPr="00EE48FD">
        <w:rPr>
          <w:b/>
          <w:lang w:val="hr-HR"/>
        </w:rPr>
        <w:t>ANALIZA STANJA</w:t>
      </w:r>
    </w:p>
    <w:p w14:paraId="2FCA0CE7" w14:textId="77777777" w:rsidR="00FF1AE1" w:rsidRPr="00EE48FD" w:rsidRDefault="00FF1AE1" w:rsidP="00B4725D">
      <w:pPr>
        <w:pStyle w:val="StandardWeb"/>
        <w:shd w:val="clear" w:color="auto" w:fill="FFFFFF"/>
        <w:spacing w:before="0" w:beforeAutospacing="0" w:after="0" w:afterAutospacing="0"/>
        <w:jc w:val="both"/>
        <w:rPr>
          <w:b/>
          <w:lang w:val="hr-HR"/>
        </w:rPr>
      </w:pPr>
    </w:p>
    <w:p w14:paraId="06986619" w14:textId="6A86F9D4" w:rsidR="00536973" w:rsidRPr="00EE48FD" w:rsidRDefault="00FF1AE1" w:rsidP="00B4725D">
      <w:pPr>
        <w:pStyle w:val="StandardWeb"/>
        <w:shd w:val="clear" w:color="auto" w:fill="FFFFFF"/>
        <w:spacing w:before="0" w:beforeAutospacing="0" w:after="0" w:afterAutospacing="0"/>
        <w:jc w:val="both"/>
        <w:rPr>
          <w:bCs/>
          <w:lang w:val="hr-HR"/>
        </w:rPr>
      </w:pPr>
      <w:r w:rsidRPr="00EE48FD">
        <w:rPr>
          <w:bCs/>
          <w:lang w:val="hr-HR"/>
        </w:rPr>
        <w:t>U Gradu Opatija trenutno je na snazi i u primjeni Odluk</w:t>
      </w:r>
      <w:r w:rsidR="00536973" w:rsidRPr="00EE48FD">
        <w:rPr>
          <w:bCs/>
          <w:lang w:val="hr-HR"/>
        </w:rPr>
        <w:t>a</w:t>
      </w:r>
      <w:r w:rsidRPr="00EE48FD">
        <w:rPr>
          <w:bCs/>
          <w:lang w:val="hr-HR"/>
        </w:rPr>
        <w:t xml:space="preserve"> o komunalnoj naknadi („Službene novine Primorsko - goranske županije“ broj 43/18, 42/20</w:t>
      </w:r>
      <w:r w:rsidR="00536973" w:rsidRPr="00EE48FD">
        <w:rPr>
          <w:bCs/>
          <w:lang w:val="hr-HR"/>
        </w:rPr>
        <w:t xml:space="preserve"> i 49/23</w:t>
      </w:r>
      <w:r w:rsidRPr="00EE48FD">
        <w:rPr>
          <w:bCs/>
          <w:lang w:val="hr-HR"/>
        </w:rPr>
        <w:t xml:space="preserve">) </w:t>
      </w:r>
      <w:r w:rsidR="00536973" w:rsidRPr="00EE48FD">
        <w:rPr>
          <w:bCs/>
          <w:lang w:val="hr-HR"/>
        </w:rPr>
        <w:t>kojom su utvrđena područja zona na području Grada Opatije u kojima se naplaćuje komunalna naknada, koeficijent zon</w:t>
      </w:r>
      <w:r w:rsidR="00C87455" w:rsidRPr="00EE48FD">
        <w:rPr>
          <w:bCs/>
          <w:lang w:val="hr-HR"/>
        </w:rPr>
        <w:t>a</w:t>
      </w:r>
      <w:r w:rsidR="00536973" w:rsidRPr="00EE48FD">
        <w:rPr>
          <w:bCs/>
          <w:lang w:val="hr-HR"/>
        </w:rPr>
        <w:t xml:space="preserve"> (</w:t>
      </w:r>
      <w:proofErr w:type="spellStart"/>
      <w:r w:rsidR="00536973" w:rsidRPr="00EE48FD">
        <w:rPr>
          <w:bCs/>
          <w:lang w:val="hr-HR"/>
        </w:rPr>
        <w:t>Kz</w:t>
      </w:r>
      <w:proofErr w:type="spellEnd"/>
      <w:r w:rsidR="00536973" w:rsidRPr="00EE48FD">
        <w:rPr>
          <w:bCs/>
          <w:lang w:val="hr-HR"/>
        </w:rPr>
        <w:t>), koeficijent namjene (Kn) za nekretnine za koje se plaća komunalna naknada, načini i rokovi plaćanja komunalne naknade, nekretnine važne za Grad Opatiju za koje se ne plaća komunalna naknada i opće uvjete i razloge zbog kojih se u pojedinačnim slučajevima odobrava djelomično ili potpuno oslobađanje plaćanja komunalne naknade.</w:t>
      </w:r>
    </w:p>
    <w:p w14:paraId="299371FE" w14:textId="77777777" w:rsidR="00536973" w:rsidRPr="00EE48FD" w:rsidRDefault="00536973" w:rsidP="00B4725D">
      <w:pPr>
        <w:pStyle w:val="StandardWeb"/>
        <w:shd w:val="clear" w:color="auto" w:fill="FFFFFF"/>
        <w:spacing w:before="0" w:beforeAutospacing="0" w:after="0" w:afterAutospacing="0"/>
        <w:jc w:val="both"/>
        <w:rPr>
          <w:bCs/>
          <w:lang w:val="hr-HR"/>
        </w:rPr>
      </w:pPr>
    </w:p>
    <w:p w14:paraId="0AD3C083" w14:textId="3D7F15D0" w:rsidR="008F05CE" w:rsidRPr="00EE48FD" w:rsidRDefault="00C87455" w:rsidP="00B4725D">
      <w:pPr>
        <w:pStyle w:val="StandardWeb"/>
        <w:shd w:val="clear" w:color="auto" w:fill="FFFFFF"/>
        <w:spacing w:before="0" w:beforeAutospacing="0" w:after="0" w:afterAutospacing="0"/>
        <w:jc w:val="both"/>
        <w:rPr>
          <w:bCs/>
          <w:lang w:val="pl-PL"/>
        </w:rPr>
      </w:pPr>
      <w:r w:rsidRPr="00EE48FD">
        <w:rPr>
          <w:bCs/>
          <w:lang w:val="pl-PL"/>
        </w:rPr>
        <w:t>V</w:t>
      </w:r>
      <w:r w:rsidR="00536973" w:rsidRPr="00EE48FD">
        <w:rPr>
          <w:bCs/>
          <w:lang w:val="pl-PL"/>
        </w:rPr>
        <w:t xml:space="preserve">ažećom Odlukom utvrđeno </w:t>
      </w:r>
      <w:r w:rsidRPr="00EE48FD">
        <w:rPr>
          <w:bCs/>
          <w:lang w:val="pl-PL"/>
        </w:rPr>
        <w:t xml:space="preserve">je </w:t>
      </w:r>
      <w:r w:rsidR="00536973" w:rsidRPr="00EE48FD">
        <w:rPr>
          <w:bCs/>
          <w:lang w:val="pl-PL"/>
        </w:rPr>
        <w:t>šest Zona</w:t>
      </w:r>
      <w:r w:rsidR="008A1113" w:rsidRPr="00EE48FD">
        <w:rPr>
          <w:bCs/>
          <w:lang w:val="pl-PL"/>
        </w:rPr>
        <w:t xml:space="preserve"> </w:t>
      </w:r>
      <w:r w:rsidRPr="00EE48FD">
        <w:rPr>
          <w:bCs/>
          <w:lang w:val="pl-PL"/>
        </w:rPr>
        <w:t xml:space="preserve">u kojima se naplaćuje komunalna naknada </w:t>
      </w:r>
      <w:r w:rsidR="008A1113" w:rsidRPr="00EE48FD">
        <w:rPr>
          <w:bCs/>
          <w:lang w:val="pl-PL"/>
        </w:rPr>
        <w:t>te</w:t>
      </w:r>
      <w:r w:rsidR="00536973" w:rsidRPr="00EE48FD">
        <w:rPr>
          <w:bCs/>
          <w:lang w:val="pl-PL"/>
        </w:rPr>
        <w:t xml:space="preserve"> koeficijenti </w:t>
      </w:r>
      <w:r w:rsidR="008A1113" w:rsidRPr="00EE48FD">
        <w:rPr>
          <w:bCs/>
          <w:lang w:val="pl-PL"/>
        </w:rPr>
        <w:t xml:space="preserve">za svaku od </w:t>
      </w:r>
      <w:r w:rsidR="00536973" w:rsidRPr="00EE48FD">
        <w:rPr>
          <w:bCs/>
          <w:lang w:val="pl-PL"/>
        </w:rPr>
        <w:t>Zona</w:t>
      </w:r>
      <w:r w:rsidR="008A1113" w:rsidRPr="00EE48FD">
        <w:rPr>
          <w:bCs/>
          <w:lang w:val="pl-PL"/>
        </w:rPr>
        <w:t>,</w:t>
      </w:r>
      <w:r w:rsidR="00536973" w:rsidRPr="00EE48FD">
        <w:rPr>
          <w:bCs/>
          <w:lang w:val="pl-PL"/>
        </w:rPr>
        <w:t xml:space="preserve"> kako slijedi:</w:t>
      </w:r>
    </w:p>
    <w:p w14:paraId="59D32153" w14:textId="4D7E8C28" w:rsidR="008A1113" w:rsidRPr="00EE48FD" w:rsidRDefault="00536973" w:rsidP="00B4725D">
      <w:pPr>
        <w:pStyle w:val="StandardWeb"/>
        <w:shd w:val="clear" w:color="auto" w:fill="FFFFFF"/>
        <w:spacing w:before="0" w:beforeAutospacing="0" w:after="0" w:afterAutospacing="0"/>
        <w:jc w:val="both"/>
        <w:rPr>
          <w:bCs/>
          <w:lang w:val="pl-PL"/>
        </w:rPr>
      </w:pPr>
      <w:r w:rsidRPr="00EE48FD">
        <w:rPr>
          <w:bCs/>
          <w:lang w:val="pl-PL"/>
        </w:rPr>
        <w:t xml:space="preserve"> </w:t>
      </w:r>
    </w:p>
    <w:tbl>
      <w:tblPr>
        <w:tblStyle w:val="Reetkatablice"/>
        <w:tblW w:w="9214" w:type="dxa"/>
        <w:jc w:val="center"/>
        <w:tblLook w:val="04A0" w:firstRow="1" w:lastRow="0" w:firstColumn="1" w:lastColumn="0" w:noHBand="0" w:noVBand="1"/>
      </w:tblPr>
      <w:tblGrid>
        <w:gridCol w:w="960"/>
        <w:gridCol w:w="7224"/>
        <w:gridCol w:w="1030"/>
      </w:tblGrid>
      <w:tr w:rsidR="00AE6314" w:rsidRPr="00EE48FD" w14:paraId="0A42F115" w14:textId="77777777" w:rsidTr="008F05CE">
        <w:trPr>
          <w:trHeight w:val="374"/>
          <w:jc w:val="center"/>
        </w:trPr>
        <w:tc>
          <w:tcPr>
            <w:tcW w:w="960" w:type="dxa"/>
            <w:vAlign w:val="center"/>
          </w:tcPr>
          <w:p w14:paraId="403AEC74" w14:textId="2356A181" w:rsidR="008A1113" w:rsidRPr="00EE48FD" w:rsidRDefault="008A1113" w:rsidP="00B4725D">
            <w:pPr>
              <w:pStyle w:val="box458203"/>
              <w:spacing w:before="0" w:beforeAutospacing="0" w:after="0" w:afterAutospacing="0"/>
              <w:jc w:val="center"/>
              <w:textAlignment w:val="baseline"/>
              <w:rPr>
                <w:bCs/>
                <w:sz w:val="20"/>
                <w:szCs w:val="20"/>
              </w:rPr>
            </w:pPr>
            <w:r w:rsidRPr="00EE48FD">
              <w:rPr>
                <w:bCs/>
              </w:rPr>
              <w:br w:type="page"/>
            </w:r>
            <w:r w:rsidRPr="00EE48FD">
              <w:rPr>
                <w:bCs/>
                <w:sz w:val="20"/>
                <w:szCs w:val="20"/>
              </w:rPr>
              <w:t>ZONA</w:t>
            </w:r>
          </w:p>
        </w:tc>
        <w:tc>
          <w:tcPr>
            <w:tcW w:w="7224" w:type="dxa"/>
            <w:noWrap/>
            <w:vAlign w:val="center"/>
            <w:hideMark/>
          </w:tcPr>
          <w:p w14:paraId="080DED3A" w14:textId="19CDDAE7" w:rsidR="008A1113" w:rsidRPr="00EE48FD" w:rsidRDefault="008A1113" w:rsidP="00B4725D">
            <w:pPr>
              <w:pStyle w:val="box458203"/>
              <w:spacing w:before="0" w:beforeAutospacing="0" w:after="0" w:afterAutospacing="0"/>
              <w:jc w:val="center"/>
              <w:textAlignment w:val="baseline"/>
              <w:rPr>
                <w:bCs/>
                <w:sz w:val="20"/>
                <w:szCs w:val="20"/>
              </w:rPr>
            </w:pPr>
            <w:r w:rsidRPr="00EE48FD">
              <w:rPr>
                <w:bCs/>
                <w:sz w:val="20"/>
                <w:szCs w:val="20"/>
              </w:rPr>
              <w:t>PODRUČJE ZONE</w:t>
            </w:r>
          </w:p>
        </w:tc>
        <w:tc>
          <w:tcPr>
            <w:tcW w:w="1030" w:type="dxa"/>
            <w:noWrap/>
            <w:vAlign w:val="center"/>
            <w:hideMark/>
          </w:tcPr>
          <w:p w14:paraId="6F0567BD" w14:textId="3CFDB642" w:rsidR="008A1113" w:rsidRPr="00EE48FD" w:rsidRDefault="008A1113" w:rsidP="00B4725D">
            <w:pPr>
              <w:pStyle w:val="box458203"/>
              <w:spacing w:before="0" w:beforeAutospacing="0" w:after="0" w:afterAutospacing="0"/>
              <w:jc w:val="center"/>
              <w:textAlignment w:val="baseline"/>
              <w:rPr>
                <w:bCs/>
                <w:sz w:val="20"/>
                <w:szCs w:val="20"/>
              </w:rPr>
            </w:pPr>
            <w:r w:rsidRPr="00EE48FD">
              <w:rPr>
                <w:b/>
                <w:sz w:val="16"/>
                <w:szCs w:val="16"/>
              </w:rPr>
              <w:t>KOEFICIJ. ZONE</w:t>
            </w:r>
          </w:p>
        </w:tc>
      </w:tr>
      <w:tr w:rsidR="00AE6314" w:rsidRPr="00EE48FD" w14:paraId="7F8218B0" w14:textId="77777777" w:rsidTr="008F05CE">
        <w:trPr>
          <w:trHeight w:val="425"/>
          <w:jc w:val="center"/>
        </w:trPr>
        <w:tc>
          <w:tcPr>
            <w:tcW w:w="960" w:type="dxa"/>
            <w:vAlign w:val="center"/>
          </w:tcPr>
          <w:p w14:paraId="71E2A736" w14:textId="799CFBE2" w:rsidR="008A1113" w:rsidRPr="00EE48FD" w:rsidRDefault="008A1113" w:rsidP="00676888">
            <w:pPr>
              <w:pStyle w:val="box458203"/>
              <w:spacing w:before="0" w:beforeAutospacing="0" w:after="0" w:afterAutospacing="0"/>
              <w:jc w:val="center"/>
              <w:textAlignment w:val="baseline"/>
              <w:rPr>
                <w:bCs/>
                <w:sz w:val="20"/>
                <w:szCs w:val="20"/>
              </w:rPr>
            </w:pPr>
            <w:r w:rsidRPr="00EE48FD">
              <w:rPr>
                <w:bCs/>
                <w:sz w:val="20"/>
                <w:szCs w:val="20"/>
              </w:rPr>
              <w:t>ZONA I.</w:t>
            </w:r>
          </w:p>
        </w:tc>
        <w:tc>
          <w:tcPr>
            <w:tcW w:w="7224" w:type="dxa"/>
            <w:vAlign w:val="center"/>
            <w:hideMark/>
          </w:tcPr>
          <w:p w14:paraId="6A13A0C5" w14:textId="6A606CD5" w:rsidR="008A1113" w:rsidRPr="00EE48FD" w:rsidRDefault="008A1113" w:rsidP="00B4725D">
            <w:pPr>
              <w:pStyle w:val="box458203"/>
              <w:spacing w:before="0" w:beforeAutospacing="0" w:after="0" w:afterAutospacing="0"/>
              <w:jc w:val="both"/>
              <w:textAlignment w:val="baseline"/>
              <w:rPr>
                <w:bCs/>
                <w:sz w:val="20"/>
                <w:szCs w:val="20"/>
              </w:rPr>
            </w:pPr>
            <w:r w:rsidRPr="00EE48FD">
              <w:rPr>
                <w:bCs/>
                <w:sz w:val="20"/>
                <w:szCs w:val="20"/>
              </w:rPr>
              <w:t xml:space="preserve">granica ove zone polazi od mora linijom koja se nastavlja na prolaz između vile </w:t>
            </w:r>
            <w:r w:rsidR="00A378A8" w:rsidRPr="00EE48FD">
              <w:rPr>
                <w:bCs/>
                <w:sz w:val="20"/>
                <w:szCs w:val="20"/>
              </w:rPr>
              <w:t>„</w:t>
            </w:r>
            <w:r w:rsidRPr="00EE48FD">
              <w:rPr>
                <w:bCs/>
                <w:sz w:val="20"/>
                <w:szCs w:val="20"/>
              </w:rPr>
              <w:t>AMBASADOR</w:t>
            </w:r>
            <w:r w:rsidR="00A378A8" w:rsidRPr="00EE48FD">
              <w:rPr>
                <w:bCs/>
                <w:sz w:val="20"/>
                <w:szCs w:val="20"/>
              </w:rPr>
              <w:t>“</w:t>
            </w:r>
            <w:r w:rsidRPr="00EE48FD">
              <w:rPr>
                <w:bCs/>
                <w:sz w:val="20"/>
                <w:szCs w:val="20"/>
              </w:rPr>
              <w:t xml:space="preserve"> i hotela </w:t>
            </w:r>
            <w:r w:rsidR="00A378A8" w:rsidRPr="00EE48FD">
              <w:rPr>
                <w:bCs/>
                <w:sz w:val="20"/>
                <w:szCs w:val="20"/>
              </w:rPr>
              <w:t>„</w:t>
            </w:r>
            <w:r w:rsidRPr="00EE48FD">
              <w:rPr>
                <w:bCs/>
                <w:sz w:val="20"/>
                <w:szCs w:val="20"/>
              </w:rPr>
              <w:t>AMBASADOR</w:t>
            </w:r>
            <w:r w:rsidR="00A378A8" w:rsidRPr="00EE48FD">
              <w:rPr>
                <w:bCs/>
                <w:sz w:val="20"/>
                <w:szCs w:val="20"/>
              </w:rPr>
              <w:t>“</w:t>
            </w:r>
            <w:r w:rsidRPr="00EE48FD">
              <w:rPr>
                <w:bCs/>
                <w:sz w:val="20"/>
                <w:szCs w:val="20"/>
              </w:rPr>
              <w:t xml:space="preserve">, ulicom Feliksa </w:t>
            </w:r>
            <w:proofErr w:type="spellStart"/>
            <w:r w:rsidRPr="00EE48FD">
              <w:rPr>
                <w:bCs/>
                <w:sz w:val="20"/>
                <w:szCs w:val="20"/>
              </w:rPr>
              <w:t>Peršića</w:t>
            </w:r>
            <w:proofErr w:type="spellEnd"/>
            <w:r w:rsidRPr="00EE48FD">
              <w:rPr>
                <w:bCs/>
                <w:sz w:val="20"/>
                <w:szCs w:val="20"/>
              </w:rPr>
              <w:t xml:space="preserve"> do ulice M. Tita, nastavlja ulicom M. Tita i to od Stubišta Škrbići do izlaza iz hotela </w:t>
            </w:r>
            <w:r w:rsidR="00A378A8" w:rsidRPr="00EE48FD">
              <w:rPr>
                <w:bCs/>
                <w:sz w:val="20"/>
                <w:szCs w:val="20"/>
              </w:rPr>
              <w:t>„</w:t>
            </w:r>
            <w:r w:rsidRPr="00EE48FD">
              <w:rPr>
                <w:bCs/>
                <w:sz w:val="20"/>
                <w:szCs w:val="20"/>
              </w:rPr>
              <w:t>ADRIATIC</w:t>
            </w:r>
            <w:r w:rsidR="00A378A8" w:rsidRPr="00EE48FD">
              <w:rPr>
                <w:bCs/>
                <w:sz w:val="20"/>
                <w:szCs w:val="20"/>
              </w:rPr>
              <w:t>“</w:t>
            </w:r>
            <w:r w:rsidRPr="00EE48FD">
              <w:rPr>
                <w:bCs/>
                <w:sz w:val="20"/>
                <w:szCs w:val="20"/>
              </w:rPr>
              <w:t xml:space="preserve">, stepeništem uz vilu </w:t>
            </w:r>
            <w:r w:rsidR="00A378A8" w:rsidRPr="00EE48FD">
              <w:rPr>
                <w:bCs/>
                <w:sz w:val="20"/>
                <w:szCs w:val="20"/>
              </w:rPr>
              <w:t>„</w:t>
            </w:r>
            <w:r w:rsidRPr="00EE48FD">
              <w:rPr>
                <w:bCs/>
                <w:sz w:val="20"/>
                <w:szCs w:val="20"/>
              </w:rPr>
              <w:t>ISTRANKU</w:t>
            </w:r>
            <w:r w:rsidR="00A378A8" w:rsidRPr="00EE48FD">
              <w:rPr>
                <w:bCs/>
                <w:sz w:val="20"/>
                <w:szCs w:val="20"/>
              </w:rPr>
              <w:t>“</w:t>
            </w:r>
            <w:r w:rsidRPr="00EE48FD">
              <w:rPr>
                <w:bCs/>
                <w:sz w:val="20"/>
                <w:szCs w:val="20"/>
              </w:rPr>
              <w:t xml:space="preserve"> granica se spušta do mora. U ovu zonu uključuje se Trg Vladimira Gortana i ulica Vjekoslava Spinčića do uključivo zgradu HP-a,</w:t>
            </w:r>
          </w:p>
        </w:tc>
        <w:tc>
          <w:tcPr>
            <w:tcW w:w="1030" w:type="dxa"/>
            <w:noWrap/>
            <w:vAlign w:val="center"/>
            <w:hideMark/>
          </w:tcPr>
          <w:p w14:paraId="0E0B9EF4" w14:textId="77777777" w:rsidR="008A1113" w:rsidRPr="00EE48FD" w:rsidRDefault="008A1113" w:rsidP="00B4725D">
            <w:pPr>
              <w:pStyle w:val="box458203"/>
              <w:spacing w:before="0" w:beforeAutospacing="0" w:after="0" w:afterAutospacing="0"/>
              <w:jc w:val="center"/>
              <w:textAlignment w:val="baseline"/>
              <w:rPr>
                <w:b/>
                <w:sz w:val="20"/>
                <w:szCs w:val="20"/>
              </w:rPr>
            </w:pPr>
            <w:r w:rsidRPr="00EE48FD">
              <w:rPr>
                <w:b/>
                <w:sz w:val="20"/>
                <w:szCs w:val="20"/>
              </w:rPr>
              <w:t>1</w:t>
            </w:r>
          </w:p>
        </w:tc>
      </w:tr>
      <w:tr w:rsidR="00AE6314" w:rsidRPr="00EE48FD" w14:paraId="006CEA8C" w14:textId="77777777" w:rsidTr="008F05CE">
        <w:trPr>
          <w:trHeight w:val="3104"/>
          <w:jc w:val="center"/>
        </w:trPr>
        <w:tc>
          <w:tcPr>
            <w:tcW w:w="960" w:type="dxa"/>
            <w:vAlign w:val="center"/>
          </w:tcPr>
          <w:p w14:paraId="68E50D9F" w14:textId="48FEFF82" w:rsidR="008A1113" w:rsidRPr="00EE48FD" w:rsidRDefault="008A1113" w:rsidP="00676888">
            <w:pPr>
              <w:pStyle w:val="box458203"/>
              <w:spacing w:before="0" w:beforeAutospacing="0" w:after="0" w:afterAutospacing="0"/>
              <w:jc w:val="center"/>
              <w:textAlignment w:val="baseline"/>
              <w:rPr>
                <w:bCs/>
                <w:sz w:val="20"/>
                <w:szCs w:val="20"/>
              </w:rPr>
            </w:pPr>
            <w:r w:rsidRPr="00EE48FD">
              <w:rPr>
                <w:bCs/>
                <w:sz w:val="20"/>
                <w:szCs w:val="20"/>
              </w:rPr>
              <w:t>ZONA II.</w:t>
            </w:r>
          </w:p>
        </w:tc>
        <w:tc>
          <w:tcPr>
            <w:tcW w:w="7224" w:type="dxa"/>
            <w:vAlign w:val="center"/>
            <w:hideMark/>
          </w:tcPr>
          <w:p w14:paraId="63379AE8" w14:textId="7BC51F24" w:rsidR="008A1113" w:rsidRPr="00EE48FD" w:rsidRDefault="008A1113" w:rsidP="00B4725D">
            <w:pPr>
              <w:pStyle w:val="box458203"/>
              <w:spacing w:before="0" w:beforeAutospacing="0" w:after="0" w:afterAutospacing="0"/>
              <w:jc w:val="both"/>
              <w:textAlignment w:val="baseline"/>
              <w:rPr>
                <w:bCs/>
                <w:sz w:val="20"/>
                <w:szCs w:val="20"/>
              </w:rPr>
            </w:pPr>
            <w:r w:rsidRPr="00EE48FD">
              <w:rPr>
                <w:bCs/>
                <w:sz w:val="20"/>
                <w:szCs w:val="20"/>
              </w:rPr>
              <w:t xml:space="preserve">- OPATIJA II. - granica ove zone polazi od mora Stubištem Stari put do ulice M. Tita, presijeca ulicu M. Tita pa nastavlja Stubištem Adeline del </w:t>
            </w:r>
            <w:proofErr w:type="spellStart"/>
            <w:r w:rsidRPr="00EE48FD">
              <w:rPr>
                <w:bCs/>
                <w:sz w:val="20"/>
                <w:szCs w:val="20"/>
              </w:rPr>
              <w:t>Mestri</w:t>
            </w:r>
            <w:proofErr w:type="spellEnd"/>
            <w:r w:rsidRPr="00EE48FD">
              <w:rPr>
                <w:bCs/>
                <w:sz w:val="20"/>
                <w:szCs w:val="20"/>
              </w:rPr>
              <w:t xml:space="preserve"> sve do križanja sa Stubištem Ivana </w:t>
            </w:r>
            <w:proofErr w:type="spellStart"/>
            <w:r w:rsidRPr="00EE48FD">
              <w:rPr>
                <w:bCs/>
                <w:sz w:val="20"/>
                <w:szCs w:val="20"/>
              </w:rPr>
              <w:t>Zavidića</w:t>
            </w:r>
            <w:proofErr w:type="spellEnd"/>
            <w:r w:rsidRPr="00EE48FD">
              <w:rPr>
                <w:bCs/>
                <w:sz w:val="20"/>
                <w:szCs w:val="20"/>
              </w:rPr>
              <w:t>, te nastavlja tim stubištem sve</w:t>
            </w:r>
            <w:r w:rsidR="00A378A8" w:rsidRPr="00EE48FD">
              <w:rPr>
                <w:bCs/>
                <w:sz w:val="20"/>
                <w:szCs w:val="20"/>
              </w:rPr>
              <w:t xml:space="preserve"> </w:t>
            </w:r>
            <w:r w:rsidRPr="00EE48FD">
              <w:rPr>
                <w:bCs/>
                <w:sz w:val="20"/>
                <w:szCs w:val="20"/>
              </w:rPr>
              <w:t xml:space="preserve">do ulice Nova cesta, ulicom Nova cesta od kućnog broja 58 uključujući i taj kućni broj nastavlja sve do križanja sa ulicom M. Tita, i tom ulicom ide do granice naselja Ičići gdje se stepeništem između restorana </w:t>
            </w:r>
            <w:r w:rsidR="00A378A8" w:rsidRPr="00EE48FD">
              <w:rPr>
                <w:bCs/>
                <w:sz w:val="20"/>
                <w:szCs w:val="20"/>
              </w:rPr>
              <w:t>„</w:t>
            </w:r>
            <w:r w:rsidRPr="00EE48FD">
              <w:rPr>
                <w:bCs/>
                <w:sz w:val="20"/>
                <w:szCs w:val="20"/>
              </w:rPr>
              <w:t>MALI RAJ</w:t>
            </w:r>
            <w:r w:rsidR="00A378A8" w:rsidRPr="00EE48FD">
              <w:rPr>
                <w:bCs/>
                <w:sz w:val="20"/>
                <w:szCs w:val="20"/>
              </w:rPr>
              <w:t>“</w:t>
            </w:r>
            <w:r w:rsidRPr="00EE48FD">
              <w:rPr>
                <w:bCs/>
                <w:sz w:val="20"/>
                <w:szCs w:val="20"/>
              </w:rPr>
              <w:t xml:space="preserve"> i hotela </w:t>
            </w:r>
            <w:r w:rsidR="00A378A8" w:rsidRPr="00EE48FD">
              <w:rPr>
                <w:bCs/>
                <w:sz w:val="20"/>
                <w:szCs w:val="20"/>
              </w:rPr>
              <w:t>„</w:t>
            </w:r>
            <w:r w:rsidRPr="00EE48FD">
              <w:rPr>
                <w:bCs/>
                <w:sz w:val="20"/>
                <w:szCs w:val="20"/>
              </w:rPr>
              <w:t>IČIĆI</w:t>
            </w:r>
            <w:r w:rsidR="00A378A8" w:rsidRPr="00EE48FD">
              <w:rPr>
                <w:bCs/>
                <w:sz w:val="20"/>
                <w:szCs w:val="20"/>
              </w:rPr>
              <w:t>“</w:t>
            </w:r>
            <w:r w:rsidRPr="00EE48FD">
              <w:rPr>
                <w:bCs/>
                <w:sz w:val="20"/>
                <w:szCs w:val="20"/>
              </w:rPr>
              <w:t xml:space="preserve"> spušta se do mora. Iz opisane granice izuzima se</w:t>
            </w:r>
            <w:r w:rsidR="0095230C" w:rsidRPr="00EE48FD">
              <w:rPr>
                <w:bCs/>
                <w:sz w:val="20"/>
                <w:szCs w:val="20"/>
              </w:rPr>
              <w:t xml:space="preserve"> </w:t>
            </w:r>
            <w:r w:rsidRPr="00EE48FD">
              <w:rPr>
                <w:bCs/>
                <w:sz w:val="20"/>
                <w:szCs w:val="20"/>
              </w:rPr>
              <w:t>zona OPATIJA I,</w:t>
            </w:r>
          </w:p>
          <w:p w14:paraId="03D12034" w14:textId="77777777" w:rsidR="008A1113" w:rsidRPr="00EE48FD" w:rsidRDefault="008A1113" w:rsidP="00B4725D">
            <w:pPr>
              <w:pStyle w:val="box458203"/>
              <w:spacing w:before="0" w:beforeAutospacing="0" w:after="0" w:afterAutospacing="0"/>
              <w:jc w:val="both"/>
              <w:textAlignment w:val="baseline"/>
              <w:rPr>
                <w:bCs/>
                <w:sz w:val="20"/>
                <w:szCs w:val="20"/>
              </w:rPr>
            </w:pPr>
            <w:r w:rsidRPr="00EE48FD">
              <w:rPr>
                <w:bCs/>
                <w:sz w:val="20"/>
                <w:szCs w:val="20"/>
              </w:rPr>
              <w:t xml:space="preserve">-VOLOSKO I. - granica ove zone polazi od mora okomito na križanje ulice </w:t>
            </w:r>
            <w:proofErr w:type="spellStart"/>
            <w:r w:rsidRPr="00EE48FD">
              <w:rPr>
                <w:bCs/>
                <w:sz w:val="20"/>
                <w:szCs w:val="20"/>
              </w:rPr>
              <w:t>Črnikovica</w:t>
            </w:r>
            <w:proofErr w:type="spellEnd"/>
            <w:r w:rsidRPr="00EE48FD">
              <w:rPr>
                <w:bCs/>
                <w:sz w:val="20"/>
                <w:szCs w:val="20"/>
              </w:rPr>
              <w:t xml:space="preserve"> i ulice Ivana Matetića Ronjgova, nastavlja ulicom </w:t>
            </w:r>
            <w:proofErr w:type="spellStart"/>
            <w:r w:rsidRPr="00EE48FD">
              <w:rPr>
                <w:bCs/>
                <w:sz w:val="20"/>
                <w:szCs w:val="20"/>
              </w:rPr>
              <w:t>Črnikovica</w:t>
            </w:r>
            <w:proofErr w:type="spellEnd"/>
            <w:r w:rsidRPr="00EE48FD">
              <w:rPr>
                <w:bCs/>
                <w:sz w:val="20"/>
                <w:szCs w:val="20"/>
              </w:rPr>
              <w:t xml:space="preserve"> sve do križanja s ulicom Andrije </w:t>
            </w:r>
            <w:proofErr w:type="spellStart"/>
            <w:r w:rsidRPr="00EE48FD">
              <w:rPr>
                <w:bCs/>
                <w:sz w:val="20"/>
                <w:szCs w:val="20"/>
              </w:rPr>
              <w:t>Štangera</w:t>
            </w:r>
            <w:proofErr w:type="spellEnd"/>
            <w:r w:rsidRPr="00EE48FD">
              <w:rPr>
                <w:bCs/>
                <w:sz w:val="20"/>
                <w:szCs w:val="20"/>
              </w:rPr>
              <w:t xml:space="preserve">, nastavlja tom ulicom sve do ulice </w:t>
            </w:r>
            <w:proofErr w:type="spellStart"/>
            <w:r w:rsidRPr="00EE48FD">
              <w:rPr>
                <w:bCs/>
                <w:sz w:val="20"/>
                <w:szCs w:val="20"/>
              </w:rPr>
              <w:t>M.Tita</w:t>
            </w:r>
            <w:proofErr w:type="spellEnd"/>
            <w:r w:rsidRPr="00EE48FD">
              <w:rPr>
                <w:bCs/>
                <w:sz w:val="20"/>
                <w:szCs w:val="20"/>
              </w:rPr>
              <w:t xml:space="preserve">, gdje se Stubištem Stari put spušta do mora </w:t>
            </w:r>
          </w:p>
          <w:p w14:paraId="673EA82C" w14:textId="3F12F955" w:rsidR="008A1113" w:rsidRPr="00EE48FD" w:rsidRDefault="008A1113" w:rsidP="00B4725D">
            <w:pPr>
              <w:pStyle w:val="box458203"/>
              <w:spacing w:before="0" w:beforeAutospacing="0" w:after="0" w:afterAutospacing="0"/>
              <w:jc w:val="both"/>
              <w:textAlignment w:val="baseline"/>
              <w:rPr>
                <w:bCs/>
                <w:sz w:val="20"/>
                <w:szCs w:val="20"/>
              </w:rPr>
            </w:pPr>
            <w:r w:rsidRPr="00EE48FD">
              <w:rPr>
                <w:bCs/>
                <w:sz w:val="20"/>
                <w:szCs w:val="20"/>
              </w:rPr>
              <w:t xml:space="preserve">-IČIĆI/IKA I. - koja obuhvaća </w:t>
            </w:r>
            <w:proofErr w:type="spellStart"/>
            <w:r w:rsidRPr="00EE48FD">
              <w:rPr>
                <w:bCs/>
                <w:sz w:val="20"/>
                <w:szCs w:val="20"/>
              </w:rPr>
              <w:t>Liburnijsku</w:t>
            </w:r>
            <w:proofErr w:type="spellEnd"/>
            <w:r w:rsidRPr="00EE48FD">
              <w:rPr>
                <w:bCs/>
                <w:sz w:val="20"/>
                <w:szCs w:val="20"/>
              </w:rPr>
              <w:t xml:space="preserve"> ulicu u naselju Ičići i Primorsku ulicu u naselju Ika</w:t>
            </w:r>
          </w:p>
        </w:tc>
        <w:tc>
          <w:tcPr>
            <w:tcW w:w="1030" w:type="dxa"/>
            <w:noWrap/>
            <w:vAlign w:val="center"/>
            <w:hideMark/>
          </w:tcPr>
          <w:p w14:paraId="69C67D6B" w14:textId="77777777" w:rsidR="008A1113" w:rsidRPr="00EE48FD" w:rsidRDefault="008A1113" w:rsidP="00B4725D">
            <w:pPr>
              <w:pStyle w:val="box458203"/>
              <w:spacing w:before="0" w:beforeAutospacing="0" w:after="0" w:afterAutospacing="0"/>
              <w:jc w:val="center"/>
              <w:textAlignment w:val="baseline"/>
              <w:rPr>
                <w:b/>
                <w:sz w:val="20"/>
                <w:szCs w:val="20"/>
              </w:rPr>
            </w:pPr>
            <w:r w:rsidRPr="00EE48FD">
              <w:rPr>
                <w:b/>
                <w:sz w:val="20"/>
                <w:szCs w:val="20"/>
              </w:rPr>
              <w:t>0,9</w:t>
            </w:r>
          </w:p>
        </w:tc>
      </w:tr>
      <w:tr w:rsidR="00AE6314" w:rsidRPr="00EE48FD" w14:paraId="61F79BB2" w14:textId="77777777" w:rsidTr="008F05CE">
        <w:trPr>
          <w:trHeight w:val="726"/>
          <w:jc w:val="center"/>
        </w:trPr>
        <w:tc>
          <w:tcPr>
            <w:tcW w:w="960" w:type="dxa"/>
            <w:vAlign w:val="center"/>
          </w:tcPr>
          <w:p w14:paraId="17605C66" w14:textId="09C44104" w:rsidR="008A1113" w:rsidRPr="00EE48FD" w:rsidRDefault="008A1113" w:rsidP="00676888">
            <w:pPr>
              <w:pStyle w:val="box458203"/>
              <w:spacing w:before="0" w:beforeAutospacing="0" w:after="0" w:afterAutospacing="0"/>
              <w:jc w:val="center"/>
              <w:textAlignment w:val="baseline"/>
              <w:rPr>
                <w:bCs/>
                <w:sz w:val="20"/>
                <w:szCs w:val="20"/>
              </w:rPr>
            </w:pPr>
            <w:r w:rsidRPr="00EE48FD">
              <w:rPr>
                <w:bCs/>
                <w:sz w:val="20"/>
                <w:szCs w:val="20"/>
              </w:rPr>
              <w:lastRenderedPageBreak/>
              <w:t>ZONA III</w:t>
            </w:r>
            <w:r w:rsidR="00676888" w:rsidRPr="00EE48FD">
              <w:rPr>
                <w:bCs/>
                <w:sz w:val="20"/>
                <w:szCs w:val="20"/>
              </w:rPr>
              <w:t>.</w:t>
            </w:r>
          </w:p>
        </w:tc>
        <w:tc>
          <w:tcPr>
            <w:tcW w:w="7224" w:type="dxa"/>
            <w:vAlign w:val="center"/>
            <w:hideMark/>
          </w:tcPr>
          <w:p w14:paraId="48FFB578" w14:textId="77777777" w:rsidR="008A1113" w:rsidRPr="00EE48FD" w:rsidRDefault="008A1113" w:rsidP="00B4725D">
            <w:pPr>
              <w:pStyle w:val="box458203"/>
              <w:spacing w:before="0" w:beforeAutospacing="0" w:after="0" w:afterAutospacing="0"/>
              <w:jc w:val="both"/>
              <w:textAlignment w:val="baseline"/>
              <w:rPr>
                <w:bCs/>
                <w:sz w:val="20"/>
                <w:szCs w:val="20"/>
              </w:rPr>
            </w:pPr>
            <w:r w:rsidRPr="00EE48FD">
              <w:rPr>
                <w:bCs/>
                <w:sz w:val="20"/>
                <w:szCs w:val="20"/>
              </w:rPr>
              <w:t xml:space="preserve">VOLOSKO II -granica ove zone polazi od granice s Gradom Rijeka, ulicom Ivana Matetića Ronjgova, nastavlja ulicom Rikarda Katalinića </w:t>
            </w:r>
            <w:proofErr w:type="spellStart"/>
            <w:r w:rsidRPr="00EE48FD">
              <w:rPr>
                <w:bCs/>
                <w:sz w:val="20"/>
                <w:szCs w:val="20"/>
              </w:rPr>
              <w:t>Jeretova</w:t>
            </w:r>
            <w:proofErr w:type="spellEnd"/>
            <w:r w:rsidRPr="00EE48FD">
              <w:rPr>
                <w:bCs/>
                <w:sz w:val="20"/>
                <w:szCs w:val="20"/>
              </w:rPr>
              <w:t xml:space="preserve"> i to do križanja s ulicom M. Tita, isključujući zonu VOLOSKO I</w:t>
            </w:r>
          </w:p>
        </w:tc>
        <w:tc>
          <w:tcPr>
            <w:tcW w:w="1030" w:type="dxa"/>
            <w:noWrap/>
            <w:vAlign w:val="center"/>
            <w:hideMark/>
          </w:tcPr>
          <w:p w14:paraId="14E197EF" w14:textId="77777777" w:rsidR="008A1113" w:rsidRPr="00EE48FD" w:rsidRDefault="008A1113" w:rsidP="00B4725D">
            <w:pPr>
              <w:pStyle w:val="box458203"/>
              <w:spacing w:before="0" w:beforeAutospacing="0" w:after="0" w:afterAutospacing="0"/>
              <w:jc w:val="center"/>
              <w:textAlignment w:val="baseline"/>
              <w:rPr>
                <w:b/>
                <w:sz w:val="20"/>
                <w:szCs w:val="20"/>
              </w:rPr>
            </w:pPr>
            <w:r w:rsidRPr="00EE48FD">
              <w:rPr>
                <w:b/>
                <w:sz w:val="20"/>
                <w:szCs w:val="20"/>
              </w:rPr>
              <w:t>0,8</w:t>
            </w:r>
          </w:p>
        </w:tc>
      </w:tr>
      <w:tr w:rsidR="00AE6314" w:rsidRPr="00EE48FD" w14:paraId="22397B6B" w14:textId="77777777" w:rsidTr="008F05CE">
        <w:trPr>
          <w:trHeight w:val="1512"/>
          <w:jc w:val="center"/>
        </w:trPr>
        <w:tc>
          <w:tcPr>
            <w:tcW w:w="960" w:type="dxa"/>
            <w:vAlign w:val="center"/>
          </w:tcPr>
          <w:p w14:paraId="0A5A1E93" w14:textId="36AA3321" w:rsidR="008A1113" w:rsidRPr="00EE48FD" w:rsidRDefault="008A1113" w:rsidP="00B4725D">
            <w:pPr>
              <w:pStyle w:val="box458203"/>
              <w:spacing w:before="0" w:beforeAutospacing="0" w:after="0" w:afterAutospacing="0"/>
              <w:jc w:val="center"/>
              <w:textAlignment w:val="baseline"/>
              <w:rPr>
                <w:bCs/>
                <w:sz w:val="20"/>
                <w:szCs w:val="20"/>
              </w:rPr>
            </w:pPr>
            <w:r w:rsidRPr="00EE48FD">
              <w:rPr>
                <w:bCs/>
                <w:sz w:val="20"/>
                <w:szCs w:val="20"/>
              </w:rPr>
              <w:t>ZONA IV</w:t>
            </w:r>
            <w:r w:rsidR="00676888" w:rsidRPr="00EE48FD">
              <w:rPr>
                <w:bCs/>
                <w:sz w:val="20"/>
                <w:szCs w:val="20"/>
              </w:rPr>
              <w:t>.</w:t>
            </w:r>
          </w:p>
          <w:p w14:paraId="3EF75331" w14:textId="77777777" w:rsidR="008A1113" w:rsidRPr="00EE48FD" w:rsidRDefault="008A1113" w:rsidP="00B4725D">
            <w:pPr>
              <w:pStyle w:val="box458203"/>
              <w:spacing w:before="0" w:beforeAutospacing="0" w:after="0" w:afterAutospacing="0"/>
              <w:jc w:val="center"/>
              <w:textAlignment w:val="baseline"/>
              <w:rPr>
                <w:bCs/>
                <w:sz w:val="20"/>
                <w:szCs w:val="20"/>
              </w:rPr>
            </w:pPr>
          </w:p>
        </w:tc>
        <w:tc>
          <w:tcPr>
            <w:tcW w:w="7224" w:type="dxa"/>
            <w:vAlign w:val="center"/>
            <w:hideMark/>
          </w:tcPr>
          <w:p w14:paraId="3961CC0C" w14:textId="036EBEBF" w:rsidR="008A1113" w:rsidRPr="00EE48FD" w:rsidRDefault="008A1113" w:rsidP="00B4725D">
            <w:pPr>
              <w:pStyle w:val="box458203"/>
              <w:spacing w:before="0" w:beforeAutospacing="0" w:after="0" w:afterAutospacing="0"/>
              <w:jc w:val="both"/>
              <w:textAlignment w:val="baseline"/>
              <w:rPr>
                <w:bCs/>
                <w:sz w:val="20"/>
                <w:szCs w:val="20"/>
              </w:rPr>
            </w:pPr>
            <w:r w:rsidRPr="00EE48FD">
              <w:rPr>
                <w:bCs/>
                <w:sz w:val="20"/>
                <w:szCs w:val="20"/>
              </w:rPr>
              <w:t xml:space="preserve">OPATIJA III. - granica ove zone obuhvaća dio naselja Opatija iznad zone OPATIJA II., i to počev od kućnog broja 59 u ulici Nova cesta, do granice sa naseljima: </w:t>
            </w:r>
            <w:proofErr w:type="spellStart"/>
            <w:r w:rsidRPr="00EE48FD">
              <w:rPr>
                <w:bCs/>
                <w:sz w:val="20"/>
                <w:szCs w:val="20"/>
              </w:rPr>
              <w:t>Pobri</w:t>
            </w:r>
            <w:proofErr w:type="spellEnd"/>
            <w:r w:rsidRPr="00EE48FD">
              <w:rPr>
                <w:bCs/>
                <w:sz w:val="20"/>
                <w:szCs w:val="20"/>
              </w:rPr>
              <w:t xml:space="preserve"> i Veprinac i</w:t>
            </w:r>
            <w:r w:rsidRPr="00EE48FD">
              <w:rPr>
                <w:bCs/>
                <w:sz w:val="20"/>
                <w:szCs w:val="20"/>
              </w:rPr>
              <w:br/>
              <w:t xml:space="preserve">-VOLOSKO III. - ova zona obuhvaća ostala područja od granice s Gradom Rijeka i Općinom Matulji do granica sa zonama VOLOSKO II., OPATIJA II. i OPATIJA III kao i do granice sa naseljem </w:t>
            </w:r>
            <w:proofErr w:type="spellStart"/>
            <w:r w:rsidRPr="00EE48FD">
              <w:rPr>
                <w:bCs/>
                <w:sz w:val="20"/>
                <w:szCs w:val="20"/>
              </w:rPr>
              <w:t>Pobri</w:t>
            </w:r>
            <w:proofErr w:type="spellEnd"/>
            <w:r w:rsidRPr="00EE48FD">
              <w:rPr>
                <w:bCs/>
                <w:sz w:val="20"/>
                <w:szCs w:val="20"/>
              </w:rPr>
              <w:t>,</w:t>
            </w:r>
          </w:p>
        </w:tc>
        <w:tc>
          <w:tcPr>
            <w:tcW w:w="1030" w:type="dxa"/>
            <w:noWrap/>
            <w:vAlign w:val="center"/>
            <w:hideMark/>
          </w:tcPr>
          <w:p w14:paraId="77DDB203" w14:textId="77777777" w:rsidR="008A1113" w:rsidRPr="00EE48FD" w:rsidRDefault="008A1113" w:rsidP="00B4725D">
            <w:pPr>
              <w:pStyle w:val="box458203"/>
              <w:spacing w:before="0" w:beforeAutospacing="0" w:after="0" w:afterAutospacing="0"/>
              <w:jc w:val="center"/>
              <w:textAlignment w:val="baseline"/>
              <w:rPr>
                <w:b/>
                <w:sz w:val="20"/>
                <w:szCs w:val="20"/>
              </w:rPr>
            </w:pPr>
            <w:r w:rsidRPr="00EE48FD">
              <w:rPr>
                <w:b/>
                <w:sz w:val="20"/>
                <w:szCs w:val="20"/>
              </w:rPr>
              <w:t>0,7</w:t>
            </w:r>
          </w:p>
        </w:tc>
      </w:tr>
      <w:tr w:rsidR="00AE6314" w:rsidRPr="00EE48FD" w14:paraId="4BEEC96F" w14:textId="77777777" w:rsidTr="008F05CE">
        <w:trPr>
          <w:trHeight w:val="647"/>
          <w:jc w:val="center"/>
        </w:trPr>
        <w:tc>
          <w:tcPr>
            <w:tcW w:w="960" w:type="dxa"/>
            <w:vAlign w:val="center"/>
          </w:tcPr>
          <w:p w14:paraId="62F9A2A0" w14:textId="3281DE0C" w:rsidR="008A1113" w:rsidRPr="00EE48FD" w:rsidRDefault="008A1113" w:rsidP="00676888">
            <w:pPr>
              <w:pStyle w:val="box458203"/>
              <w:spacing w:before="0" w:beforeAutospacing="0" w:after="0" w:afterAutospacing="0"/>
              <w:jc w:val="center"/>
              <w:textAlignment w:val="baseline"/>
              <w:rPr>
                <w:bCs/>
                <w:sz w:val="20"/>
                <w:szCs w:val="20"/>
              </w:rPr>
            </w:pPr>
            <w:r w:rsidRPr="00EE48FD">
              <w:rPr>
                <w:bCs/>
                <w:sz w:val="20"/>
                <w:szCs w:val="20"/>
              </w:rPr>
              <w:t>ZONA V</w:t>
            </w:r>
            <w:r w:rsidR="00676888" w:rsidRPr="00EE48FD">
              <w:rPr>
                <w:bCs/>
                <w:sz w:val="20"/>
                <w:szCs w:val="20"/>
              </w:rPr>
              <w:t>.</w:t>
            </w:r>
          </w:p>
        </w:tc>
        <w:tc>
          <w:tcPr>
            <w:tcW w:w="7224" w:type="dxa"/>
            <w:vAlign w:val="center"/>
            <w:hideMark/>
          </w:tcPr>
          <w:p w14:paraId="4DF574E6" w14:textId="4B5571CD" w:rsidR="008A1113" w:rsidRPr="00EE48FD" w:rsidRDefault="008A1113" w:rsidP="00B4725D">
            <w:pPr>
              <w:pStyle w:val="box458203"/>
              <w:spacing w:before="0" w:beforeAutospacing="0" w:after="0" w:afterAutospacing="0"/>
              <w:jc w:val="both"/>
              <w:textAlignment w:val="baseline"/>
              <w:rPr>
                <w:bCs/>
                <w:sz w:val="20"/>
                <w:szCs w:val="20"/>
              </w:rPr>
            </w:pPr>
            <w:r w:rsidRPr="00EE48FD">
              <w:rPr>
                <w:bCs/>
                <w:sz w:val="20"/>
                <w:szCs w:val="20"/>
              </w:rPr>
              <w:t xml:space="preserve">IČIĆI/IKA II. - koja obuhvaća ostala područja naselja Ičići i Ika, sve do granica sa naseljima Veprinac, Poljane i Oprić </w:t>
            </w:r>
          </w:p>
        </w:tc>
        <w:tc>
          <w:tcPr>
            <w:tcW w:w="1030" w:type="dxa"/>
            <w:noWrap/>
            <w:vAlign w:val="center"/>
            <w:hideMark/>
          </w:tcPr>
          <w:p w14:paraId="5C927372" w14:textId="77777777" w:rsidR="008A1113" w:rsidRPr="00EE48FD" w:rsidRDefault="008A1113" w:rsidP="00B4725D">
            <w:pPr>
              <w:pStyle w:val="box458203"/>
              <w:spacing w:before="0" w:beforeAutospacing="0" w:after="0" w:afterAutospacing="0"/>
              <w:jc w:val="center"/>
              <w:textAlignment w:val="baseline"/>
              <w:rPr>
                <w:b/>
                <w:sz w:val="20"/>
                <w:szCs w:val="20"/>
              </w:rPr>
            </w:pPr>
            <w:r w:rsidRPr="00EE48FD">
              <w:rPr>
                <w:b/>
                <w:sz w:val="20"/>
                <w:szCs w:val="20"/>
              </w:rPr>
              <w:t>0,5</w:t>
            </w:r>
          </w:p>
        </w:tc>
      </w:tr>
      <w:tr w:rsidR="008A1113" w:rsidRPr="00EE48FD" w14:paraId="39FE8CEB" w14:textId="77777777" w:rsidTr="008F05CE">
        <w:trPr>
          <w:trHeight w:val="792"/>
          <w:jc w:val="center"/>
        </w:trPr>
        <w:tc>
          <w:tcPr>
            <w:tcW w:w="960" w:type="dxa"/>
            <w:vAlign w:val="center"/>
          </w:tcPr>
          <w:p w14:paraId="4FAF8C34" w14:textId="434D5BB7" w:rsidR="008A1113" w:rsidRPr="00EE48FD" w:rsidRDefault="008A1113" w:rsidP="00676888">
            <w:pPr>
              <w:pStyle w:val="box458203"/>
              <w:spacing w:before="0" w:beforeAutospacing="0" w:after="0" w:afterAutospacing="0"/>
              <w:jc w:val="center"/>
              <w:textAlignment w:val="baseline"/>
              <w:rPr>
                <w:bCs/>
                <w:sz w:val="20"/>
                <w:szCs w:val="20"/>
              </w:rPr>
            </w:pPr>
            <w:r w:rsidRPr="00EE48FD">
              <w:rPr>
                <w:bCs/>
                <w:sz w:val="20"/>
                <w:szCs w:val="20"/>
              </w:rPr>
              <w:t>ZONA VI</w:t>
            </w:r>
            <w:r w:rsidR="00676888" w:rsidRPr="00EE48FD">
              <w:rPr>
                <w:bCs/>
                <w:sz w:val="20"/>
                <w:szCs w:val="20"/>
              </w:rPr>
              <w:t>.</w:t>
            </w:r>
          </w:p>
        </w:tc>
        <w:tc>
          <w:tcPr>
            <w:tcW w:w="7224" w:type="dxa"/>
            <w:vAlign w:val="center"/>
            <w:hideMark/>
          </w:tcPr>
          <w:p w14:paraId="359ED398" w14:textId="77777777" w:rsidR="008A1113" w:rsidRPr="00EE48FD" w:rsidRDefault="008A1113" w:rsidP="00B4725D">
            <w:pPr>
              <w:pStyle w:val="box458203"/>
              <w:spacing w:before="0" w:beforeAutospacing="0" w:after="0" w:afterAutospacing="0"/>
              <w:jc w:val="both"/>
              <w:textAlignment w:val="baseline"/>
              <w:rPr>
                <w:bCs/>
                <w:sz w:val="20"/>
                <w:szCs w:val="20"/>
              </w:rPr>
            </w:pPr>
            <w:r w:rsidRPr="00EE48FD">
              <w:rPr>
                <w:bCs/>
                <w:sz w:val="20"/>
                <w:szCs w:val="20"/>
              </w:rPr>
              <w:t xml:space="preserve">OSTALI - koja obuhvaća ostala područja Grada Opatije u kojima se naplaćuje komunalna naknada, a to su naselja: </w:t>
            </w:r>
            <w:proofErr w:type="spellStart"/>
            <w:r w:rsidRPr="00EE48FD">
              <w:rPr>
                <w:bCs/>
                <w:sz w:val="20"/>
                <w:szCs w:val="20"/>
              </w:rPr>
              <w:t>Pobri</w:t>
            </w:r>
            <w:proofErr w:type="spellEnd"/>
            <w:r w:rsidRPr="00EE48FD">
              <w:rPr>
                <w:bCs/>
                <w:sz w:val="20"/>
                <w:szCs w:val="20"/>
              </w:rPr>
              <w:t xml:space="preserve">, Veprinac, Poljane, Vela Učka, Oprić i </w:t>
            </w:r>
            <w:proofErr w:type="spellStart"/>
            <w:r w:rsidRPr="00EE48FD">
              <w:rPr>
                <w:bCs/>
                <w:sz w:val="20"/>
                <w:szCs w:val="20"/>
              </w:rPr>
              <w:t>Dobreć</w:t>
            </w:r>
            <w:proofErr w:type="spellEnd"/>
            <w:r w:rsidRPr="00EE48FD">
              <w:rPr>
                <w:bCs/>
                <w:sz w:val="20"/>
                <w:szCs w:val="20"/>
              </w:rPr>
              <w:t>.</w:t>
            </w:r>
          </w:p>
        </w:tc>
        <w:tc>
          <w:tcPr>
            <w:tcW w:w="1030" w:type="dxa"/>
            <w:noWrap/>
            <w:vAlign w:val="center"/>
            <w:hideMark/>
          </w:tcPr>
          <w:p w14:paraId="29283D7F" w14:textId="77777777" w:rsidR="008A1113" w:rsidRPr="00EE48FD" w:rsidRDefault="008A1113" w:rsidP="00B4725D">
            <w:pPr>
              <w:pStyle w:val="box458203"/>
              <w:spacing w:before="0" w:beforeAutospacing="0" w:after="0" w:afterAutospacing="0"/>
              <w:jc w:val="center"/>
              <w:textAlignment w:val="baseline"/>
              <w:rPr>
                <w:b/>
                <w:sz w:val="20"/>
                <w:szCs w:val="20"/>
              </w:rPr>
            </w:pPr>
            <w:r w:rsidRPr="00EE48FD">
              <w:rPr>
                <w:b/>
                <w:sz w:val="20"/>
                <w:szCs w:val="20"/>
              </w:rPr>
              <w:t>0,3</w:t>
            </w:r>
          </w:p>
        </w:tc>
      </w:tr>
    </w:tbl>
    <w:p w14:paraId="2C70BA73" w14:textId="77777777" w:rsidR="00536973" w:rsidRPr="00EE48FD" w:rsidRDefault="00536973" w:rsidP="00B4725D">
      <w:pPr>
        <w:pStyle w:val="StandardWeb"/>
        <w:shd w:val="clear" w:color="auto" w:fill="FFFFFF"/>
        <w:spacing w:before="0" w:beforeAutospacing="0" w:after="0" w:afterAutospacing="0"/>
        <w:jc w:val="both"/>
        <w:rPr>
          <w:bCs/>
        </w:rPr>
      </w:pPr>
    </w:p>
    <w:p w14:paraId="755DD40E" w14:textId="7CC8FC79" w:rsidR="00FF1AE1" w:rsidRPr="009F7D6D" w:rsidRDefault="008A1113" w:rsidP="00B4725D">
      <w:pPr>
        <w:pStyle w:val="StandardWeb"/>
        <w:shd w:val="clear" w:color="auto" w:fill="FFFFFF"/>
        <w:spacing w:before="0" w:beforeAutospacing="0" w:after="0" w:afterAutospacing="0"/>
        <w:jc w:val="both"/>
        <w:rPr>
          <w:b/>
          <w:lang w:val="hr-HR"/>
        </w:rPr>
      </w:pPr>
      <w:r w:rsidRPr="009F7D6D">
        <w:rPr>
          <w:bCs/>
          <w:lang w:val="hr-HR"/>
        </w:rPr>
        <w:t xml:space="preserve">Navedeni broj ZONA, utvrđena područja kao i koeficijenti istih </w:t>
      </w:r>
      <w:r w:rsidRPr="009F7D6D">
        <w:rPr>
          <w:b/>
          <w:lang w:val="hr-HR"/>
        </w:rPr>
        <w:t>nisu se mij</w:t>
      </w:r>
      <w:r w:rsidR="007F2023" w:rsidRPr="009F7D6D">
        <w:rPr>
          <w:b/>
          <w:lang w:val="hr-HR"/>
        </w:rPr>
        <w:t>e</w:t>
      </w:r>
      <w:r w:rsidRPr="009F7D6D">
        <w:rPr>
          <w:b/>
          <w:lang w:val="hr-HR"/>
        </w:rPr>
        <w:t xml:space="preserve">njali </w:t>
      </w:r>
      <w:r w:rsidR="009A66C8" w:rsidRPr="009F7D6D">
        <w:rPr>
          <w:b/>
          <w:lang w:val="hr-HR"/>
        </w:rPr>
        <w:t xml:space="preserve">skoro </w:t>
      </w:r>
      <w:r w:rsidRPr="009F7D6D">
        <w:rPr>
          <w:b/>
          <w:lang w:val="hr-HR"/>
        </w:rPr>
        <w:t>2</w:t>
      </w:r>
      <w:r w:rsidR="009A66C8" w:rsidRPr="009F7D6D">
        <w:rPr>
          <w:b/>
          <w:lang w:val="hr-HR"/>
        </w:rPr>
        <w:t>5</w:t>
      </w:r>
      <w:r w:rsidRPr="009F7D6D">
        <w:rPr>
          <w:b/>
          <w:lang w:val="hr-HR"/>
        </w:rPr>
        <w:t xml:space="preserve"> godina odnosno od 2001. godine kada je donesena </w:t>
      </w:r>
      <w:r w:rsidR="00FF1AE1" w:rsidRPr="009F7D6D">
        <w:rPr>
          <w:b/>
          <w:lang w:val="hr-HR"/>
        </w:rPr>
        <w:t>Odluk</w:t>
      </w:r>
      <w:r w:rsidRPr="009F7D6D">
        <w:rPr>
          <w:b/>
          <w:lang w:val="hr-HR"/>
        </w:rPr>
        <w:t>a</w:t>
      </w:r>
      <w:r w:rsidR="00FF1AE1" w:rsidRPr="009F7D6D">
        <w:rPr>
          <w:b/>
          <w:lang w:val="hr-HR"/>
        </w:rPr>
        <w:t xml:space="preserve"> o </w:t>
      </w:r>
      <w:r w:rsidRPr="009F7D6D">
        <w:rPr>
          <w:b/>
          <w:lang w:val="hr-HR"/>
        </w:rPr>
        <w:t>komunalnoj naknadi</w:t>
      </w:r>
      <w:r w:rsidR="00FF1AE1" w:rsidRPr="009F7D6D">
        <w:rPr>
          <w:bCs/>
          <w:lang w:val="hr-HR"/>
        </w:rPr>
        <w:t xml:space="preserve"> („Službene novine Primorsko goranske županije“ broj </w:t>
      </w:r>
      <w:r w:rsidRPr="009F7D6D">
        <w:rPr>
          <w:bCs/>
          <w:lang w:val="hr-HR"/>
        </w:rPr>
        <w:t>27</w:t>
      </w:r>
      <w:r w:rsidR="00FF1AE1" w:rsidRPr="009F7D6D">
        <w:rPr>
          <w:bCs/>
          <w:lang w:val="hr-HR"/>
        </w:rPr>
        <w:t>/01) koja je prethodila važećoj Odluci, a</w:t>
      </w:r>
      <w:r w:rsidR="00C304F9" w:rsidRPr="009F7D6D">
        <w:rPr>
          <w:bCs/>
          <w:lang w:val="hr-HR"/>
        </w:rPr>
        <w:t xml:space="preserve"> koja</w:t>
      </w:r>
      <w:r w:rsidR="00FF1AE1" w:rsidRPr="009F7D6D">
        <w:rPr>
          <w:bCs/>
          <w:lang w:val="hr-HR"/>
        </w:rPr>
        <w:t xml:space="preserve"> bila u primjeni od 01.01.2002. godine</w:t>
      </w:r>
      <w:r w:rsidR="00FF1AE1" w:rsidRPr="009F7D6D">
        <w:rPr>
          <w:b/>
          <w:lang w:val="hr-HR"/>
        </w:rPr>
        <w:t>.</w:t>
      </w:r>
    </w:p>
    <w:p w14:paraId="4FB0E8D3" w14:textId="77777777" w:rsidR="008A1113" w:rsidRPr="00EE48FD" w:rsidRDefault="008A1113" w:rsidP="00B4725D">
      <w:pPr>
        <w:pStyle w:val="StandardWeb"/>
        <w:shd w:val="clear" w:color="auto" w:fill="FFFFFF"/>
        <w:spacing w:before="0" w:beforeAutospacing="0" w:after="0" w:afterAutospacing="0"/>
        <w:jc w:val="both"/>
        <w:rPr>
          <w:b/>
        </w:rPr>
      </w:pPr>
    </w:p>
    <w:p w14:paraId="5B92CFEF" w14:textId="67A03834" w:rsidR="008A1113" w:rsidRPr="009F7D6D" w:rsidRDefault="008A1113" w:rsidP="00B4725D">
      <w:pPr>
        <w:pStyle w:val="StandardWeb"/>
        <w:shd w:val="clear" w:color="auto" w:fill="FFFFFF"/>
        <w:spacing w:before="0" w:beforeAutospacing="0" w:after="0" w:afterAutospacing="0"/>
        <w:jc w:val="both"/>
        <w:rPr>
          <w:bCs/>
          <w:strike/>
          <w:lang w:val="hr-HR"/>
        </w:rPr>
      </w:pPr>
      <w:r w:rsidRPr="009F7D6D">
        <w:rPr>
          <w:bCs/>
          <w:lang w:val="hr-HR"/>
        </w:rPr>
        <w:t>Činjenica je također da je u proteklih 2</w:t>
      </w:r>
      <w:r w:rsidR="00187A9E" w:rsidRPr="009F7D6D">
        <w:rPr>
          <w:bCs/>
          <w:lang w:val="hr-HR"/>
        </w:rPr>
        <w:t>5</w:t>
      </w:r>
      <w:r w:rsidRPr="009F7D6D">
        <w:rPr>
          <w:bCs/>
          <w:lang w:val="hr-HR"/>
        </w:rPr>
        <w:t xml:space="preserve"> </w:t>
      </w:r>
      <w:r w:rsidR="00FB2921" w:rsidRPr="009F7D6D">
        <w:rPr>
          <w:bCs/>
          <w:lang w:val="hr-HR"/>
        </w:rPr>
        <w:t>g</w:t>
      </w:r>
      <w:r w:rsidRPr="009F7D6D">
        <w:rPr>
          <w:bCs/>
          <w:lang w:val="hr-HR"/>
        </w:rPr>
        <w:t>odina,</w:t>
      </w:r>
      <w:r w:rsidR="00FB2921" w:rsidRPr="009F7D6D">
        <w:rPr>
          <w:bCs/>
          <w:lang w:val="hr-HR"/>
        </w:rPr>
        <w:t xml:space="preserve"> </w:t>
      </w:r>
      <w:r w:rsidRPr="009F7D6D">
        <w:rPr>
          <w:bCs/>
          <w:lang w:val="hr-HR"/>
        </w:rPr>
        <w:t>z</w:t>
      </w:r>
      <w:r w:rsidR="00FB2921" w:rsidRPr="009F7D6D">
        <w:rPr>
          <w:bCs/>
          <w:lang w:val="hr-HR"/>
        </w:rPr>
        <w:t>načajn</w:t>
      </w:r>
      <w:r w:rsidRPr="009F7D6D">
        <w:rPr>
          <w:bCs/>
          <w:lang w:val="hr-HR"/>
        </w:rPr>
        <w:t>o poboljšan komun</w:t>
      </w:r>
      <w:r w:rsidR="00FB2921" w:rsidRPr="009F7D6D">
        <w:rPr>
          <w:bCs/>
          <w:lang w:val="hr-HR"/>
        </w:rPr>
        <w:t>al</w:t>
      </w:r>
      <w:r w:rsidRPr="009F7D6D">
        <w:rPr>
          <w:bCs/>
          <w:lang w:val="hr-HR"/>
        </w:rPr>
        <w:t xml:space="preserve">ni standard </w:t>
      </w:r>
      <w:r w:rsidR="00FB2921" w:rsidRPr="009F7D6D">
        <w:rPr>
          <w:bCs/>
          <w:lang w:val="hr-HR"/>
        </w:rPr>
        <w:t>(</w:t>
      </w:r>
      <w:r w:rsidR="00682B1D" w:rsidRPr="009F7D6D">
        <w:rPr>
          <w:bCs/>
          <w:lang w:val="hr-HR"/>
        </w:rPr>
        <w:t xml:space="preserve">izgradnja i </w:t>
      </w:r>
      <w:r w:rsidR="00FB2921" w:rsidRPr="009F7D6D">
        <w:rPr>
          <w:bCs/>
          <w:lang w:val="hr-HR"/>
        </w:rPr>
        <w:t>asfaltiranje prometnica,</w:t>
      </w:r>
      <w:r w:rsidR="009A66C8" w:rsidRPr="009F7D6D">
        <w:rPr>
          <w:bCs/>
          <w:lang w:val="hr-HR"/>
        </w:rPr>
        <w:t xml:space="preserve"> izgradnja i uređenje nogostupa,</w:t>
      </w:r>
      <w:r w:rsidR="00FB2921" w:rsidRPr="009F7D6D">
        <w:rPr>
          <w:bCs/>
          <w:lang w:val="hr-HR"/>
        </w:rPr>
        <w:t xml:space="preserve"> </w:t>
      </w:r>
      <w:r w:rsidR="00CE0D99" w:rsidRPr="009F7D6D">
        <w:rPr>
          <w:bCs/>
          <w:lang w:val="hr-HR"/>
        </w:rPr>
        <w:t>uređenje pla</w:t>
      </w:r>
      <w:r w:rsidR="00994225" w:rsidRPr="009F7D6D">
        <w:rPr>
          <w:bCs/>
          <w:lang w:val="hr-HR"/>
        </w:rPr>
        <w:t>ž</w:t>
      </w:r>
      <w:r w:rsidR="00CE0D99" w:rsidRPr="009F7D6D">
        <w:rPr>
          <w:bCs/>
          <w:lang w:val="hr-HR"/>
        </w:rPr>
        <w:t xml:space="preserve">a, </w:t>
      </w:r>
      <w:r w:rsidR="00FB2921" w:rsidRPr="009F7D6D">
        <w:rPr>
          <w:bCs/>
          <w:lang w:val="hr-HR"/>
        </w:rPr>
        <w:t>proširenje javne rasvjete, izgradnja dječjih i/ili sportskih igrališta, povećanje opsega</w:t>
      </w:r>
      <w:r w:rsidR="009A66C8" w:rsidRPr="009F7D6D">
        <w:rPr>
          <w:bCs/>
          <w:lang w:val="hr-HR"/>
        </w:rPr>
        <w:t xml:space="preserve"> redovnog</w:t>
      </w:r>
      <w:r w:rsidR="00FB2921" w:rsidRPr="009F7D6D">
        <w:rPr>
          <w:bCs/>
          <w:lang w:val="hr-HR"/>
        </w:rPr>
        <w:t xml:space="preserve"> </w:t>
      </w:r>
      <w:r w:rsidR="00187A9E" w:rsidRPr="009F7D6D">
        <w:rPr>
          <w:bCs/>
          <w:lang w:val="hr-HR"/>
        </w:rPr>
        <w:t xml:space="preserve"> </w:t>
      </w:r>
      <w:r w:rsidR="00FB2921" w:rsidRPr="009F7D6D">
        <w:rPr>
          <w:bCs/>
          <w:lang w:val="hr-HR"/>
        </w:rPr>
        <w:t>održavanja - npr.</w:t>
      </w:r>
      <w:r w:rsidR="009F7D6D">
        <w:rPr>
          <w:bCs/>
          <w:lang w:val="hr-HR"/>
        </w:rPr>
        <w:t xml:space="preserve"> </w:t>
      </w:r>
      <w:r w:rsidR="00FB2921" w:rsidRPr="009F7D6D">
        <w:rPr>
          <w:bCs/>
          <w:lang w:val="hr-HR"/>
        </w:rPr>
        <w:t>košnja javno prometnih površina</w:t>
      </w:r>
      <w:r w:rsidR="00682B1D" w:rsidRPr="009F7D6D">
        <w:rPr>
          <w:bCs/>
          <w:lang w:val="hr-HR"/>
        </w:rPr>
        <w:t>, puteva, stubišta</w:t>
      </w:r>
      <w:r w:rsidR="00FB2921" w:rsidRPr="009F7D6D">
        <w:rPr>
          <w:bCs/>
          <w:lang w:val="hr-HR"/>
        </w:rPr>
        <w:t xml:space="preserve">…) kao i ulaganja u ostalu društvenu infrastrukturu </w:t>
      </w:r>
      <w:r w:rsidR="00CE0D99" w:rsidRPr="009F7D6D">
        <w:rPr>
          <w:bCs/>
          <w:lang w:val="hr-HR"/>
        </w:rPr>
        <w:t>na svim područjima Grada Opatije, a</w:t>
      </w:r>
      <w:r w:rsidR="00682B1D" w:rsidRPr="009F7D6D">
        <w:rPr>
          <w:bCs/>
          <w:lang w:val="hr-HR"/>
        </w:rPr>
        <w:t xml:space="preserve"> u zadnje vrijeme</w:t>
      </w:r>
      <w:r w:rsidR="00CE0D99" w:rsidRPr="009F7D6D">
        <w:rPr>
          <w:bCs/>
          <w:lang w:val="hr-HR"/>
        </w:rPr>
        <w:t xml:space="preserve"> posebice </w:t>
      </w:r>
      <w:r w:rsidR="0099411D" w:rsidRPr="009F7D6D">
        <w:rPr>
          <w:bCs/>
          <w:lang w:val="hr-HR"/>
        </w:rPr>
        <w:t>izvan centra Opatije</w:t>
      </w:r>
      <w:r w:rsidR="00CE0D99" w:rsidRPr="009F7D6D">
        <w:rPr>
          <w:bCs/>
          <w:lang w:val="hr-HR"/>
        </w:rPr>
        <w:t>.</w:t>
      </w:r>
    </w:p>
    <w:p w14:paraId="3F0AA181" w14:textId="77777777" w:rsidR="007F2023" w:rsidRPr="00EE48FD" w:rsidRDefault="007F2023" w:rsidP="00B4725D">
      <w:pPr>
        <w:pStyle w:val="box458203"/>
        <w:spacing w:before="0" w:beforeAutospacing="0" w:after="0" w:afterAutospacing="0"/>
        <w:jc w:val="both"/>
        <w:textAlignment w:val="baseline"/>
      </w:pPr>
    </w:p>
    <w:p w14:paraId="49F841B9" w14:textId="45B9A782" w:rsidR="005B65DF" w:rsidRPr="00EE48FD" w:rsidRDefault="007F2023" w:rsidP="00B4725D">
      <w:pPr>
        <w:pStyle w:val="box458203"/>
        <w:spacing w:before="0" w:beforeAutospacing="0" w:after="0" w:afterAutospacing="0"/>
        <w:jc w:val="both"/>
        <w:textAlignment w:val="baseline"/>
      </w:pPr>
      <w:r w:rsidRPr="00EE48FD">
        <w:t>Što se tiče koeficijenata namjene isti se također u proteklih</w:t>
      </w:r>
      <w:r w:rsidR="00682B1D" w:rsidRPr="00EE48FD">
        <w:t xml:space="preserve"> gotovo</w:t>
      </w:r>
      <w:r w:rsidRPr="00EE48FD">
        <w:t xml:space="preserve"> 2</w:t>
      </w:r>
      <w:r w:rsidR="00682B1D" w:rsidRPr="00EE48FD">
        <w:t>5</w:t>
      </w:r>
      <w:r w:rsidRPr="00EE48FD">
        <w:t xml:space="preserve"> godina nisu uopće izmijenili. Posljednja značajnija izmjena iz listopada 2023. odnosila se na propisivanje maksimalnog koeficijenta namjene (10) za tzv. </w:t>
      </w:r>
      <w:r w:rsidR="005B65DF" w:rsidRPr="00EE48FD">
        <w:t>p</w:t>
      </w:r>
      <w:r w:rsidRPr="00EE48FD">
        <w:t>oslovne prostore</w:t>
      </w:r>
      <w:r w:rsidR="00B4725D" w:rsidRPr="00EE48FD">
        <w:t>-</w:t>
      </w:r>
      <w:r w:rsidRPr="00EE48FD">
        <w:t xml:space="preserve">apartmane. </w:t>
      </w:r>
    </w:p>
    <w:p w14:paraId="3225827D" w14:textId="77777777" w:rsidR="005B65DF" w:rsidRPr="00EE48FD" w:rsidRDefault="005B65DF" w:rsidP="00B4725D">
      <w:pPr>
        <w:pStyle w:val="box458203"/>
        <w:spacing w:before="0" w:beforeAutospacing="0" w:after="0" w:afterAutospacing="0"/>
        <w:jc w:val="both"/>
        <w:textAlignment w:val="baseline"/>
      </w:pPr>
    </w:p>
    <w:p w14:paraId="3054C760" w14:textId="5E912475" w:rsidR="005B65DF" w:rsidRPr="00EE48FD" w:rsidRDefault="005B65DF" w:rsidP="00B4725D">
      <w:pPr>
        <w:pStyle w:val="box458203"/>
        <w:spacing w:before="0" w:beforeAutospacing="0" w:after="0" w:afterAutospacing="0"/>
        <w:jc w:val="both"/>
        <w:textAlignment w:val="baseline"/>
      </w:pPr>
      <w:r w:rsidRPr="00EE48FD">
        <w:t>Važećom Odlukom uređeni su i rokovi plaćanja komunalne naknade odnosno broj obroka u kojima se plaća komunalna naknada te dospijeće svakog od obroka pri čemu su još uvijek iznosi obroka iskazani u kunama.</w:t>
      </w:r>
    </w:p>
    <w:p w14:paraId="5705382F" w14:textId="3F63BD59" w:rsidR="005B65DF" w:rsidRPr="00EE48FD" w:rsidRDefault="005B65DF" w:rsidP="00B4725D">
      <w:pPr>
        <w:pStyle w:val="box458203"/>
        <w:spacing w:before="0" w:beforeAutospacing="0" w:after="0" w:afterAutospacing="0"/>
        <w:jc w:val="both"/>
        <w:textAlignment w:val="baseline"/>
        <w:rPr>
          <w:bCs/>
        </w:rPr>
      </w:pPr>
    </w:p>
    <w:p w14:paraId="33D04C7C" w14:textId="6237E0E5" w:rsidR="005B65DF" w:rsidRPr="00EE48FD" w:rsidRDefault="005B65DF" w:rsidP="00B4725D">
      <w:pPr>
        <w:pStyle w:val="box458203"/>
        <w:spacing w:before="0" w:beforeAutospacing="0" w:after="0" w:afterAutospacing="0"/>
        <w:jc w:val="both"/>
        <w:textAlignment w:val="baseline"/>
      </w:pPr>
      <w:r w:rsidRPr="00EE48FD">
        <w:t xml:space="preserve">Podsjećamo da je, prema članku 91. Zakona komunalna naknada namjenski prihod koji se koristi za financiranje održavanja i građenja komunalne infrastrukture, a može se na temelju odluke predstavničkog tijela jedinice lokalne samouprave koristiti i za financiranje građenja i održavanja objekata predškolskog, školskog, zdravstvenog i socijalnog sadržaja, javnih građevina sportske i kulturne namjene te poboljšanja energetske učinkovitosti zgrada u vlasništvu jedinice lokalne samouprave, ako se time ne dovodi u pitanje mogućnost održavanja i građenja komunalne infrastrukture. </w:t>
      </w:r>
    </w:p>
    <w:p w14:paraId="57459279" w14:textId="77777777" w:rsidR="00FF1AE1" w:rsidRPr="00EE48FD" w:rsidRDefault="00FF1AE1" w:rsidP="00B4725D">
      <w:pPr>
        <w:pStyle w:val="box458203"/>
        <w:spacing w:before="0" w:beforeAutospacing="0" w:after="0" w:afterAutospacing="0"/>
        <w:jc w:val="both"/>
        <w:textAlignment w:val="baseline"/>
        <w:rPr>
          <w:bCs/>
        </w:rPr>
      </w:pPr>
    </w:p>
    <w:p w14:paraId="231104F9" w14:textId="77777777" w:rsidR="00FF1AE1" w:rsidRPr="00EE48FD" w:rsidRDefault="00FF1AE1" w:rsidP="00B4725D">
      <w:pPr>
        <w:pStyle w:val="box458203"/>
        <w:spacing w:before="0" w:beforeAutospacing="0" w:after="0" w:afterAutospacing="0"/>
        <w:jc w:val="both"/>
        <w:textAlignment w:val="baseline"/>
        <w:rPr>
          <w:b/>
        </w:rPr>
      </w:pPr>
      <w:r w:rsidRPr="00EE48FD">
        <w:rPr>
          <w:b/>
        </w:rPr>
        <w:t>OBRAZLOŽENJE PRIJEDLOGA ODLUKE</w:t>
      </w:r>
    </w:p>
    <w:p w14:paraId="6C14A136" w14:textId="77777777" w:rsidR="00676888" w:rsidRPr="00EE48FD" w:rsidRDefault="00676888" w:rsidP="00B4725D">
      <w:pPr>
        <w:pStyle w:val="box458203"/>
        <w:spacing w:before="0" w:beforeAutospacing="0" w:after="0" w:afterAutospacing="0"/>
        <w:jc w:val="both"/>
        <w:textAlignment w:val="baseline"/>
        <w:rPr>
          <w:b/>
        </w:rPr>
      </w:pPr>
    </w:p>
    <w:p w14:paraId="2938E8EB" w14:textId="46DBD908" w:rsidR="009E29F2" w:rsidRDefault="009E29F2" w:rsidP="00B4725D">
      <w:pPr>
        <w:pStyle w:val="box458203"/>
        <w:spacing w:before="0" w:beforeAutospacing="0" w:after="0" w:afterAutospacing="0"/>
        <w:jc w:val="both"/>
        <w:textAlignment w:val="baseline"/>
        <w:rPr>
          <w:bCs/>
        </w:rPr>
      </w:pPr>
      <w:r w:rsidRPr="00EE48FD">
        <w:rPr>
          <w:bCs/>
        </w:rPr>
        <w:t>Sadržaj i struktura predložene nove Odluke o komunalnoj naknadi u skladu je s člankom 95. stavkom 1. Zakona na način da se njome propisuju: područja zona na području Grada Opatije u kojima se naplaćuje komunalna naknada, koeficijent zone (</w:t>
      </w:r>
      <w:proofErr w:type="spellStart"/>
      <w:r w:rsidRPr="00EE48FD">
        <w:rPr>
          <w:bCs/>
        </w:rPr>
        <w:t>Kz</w:t>
      </w:r>
      <w:proofErr w:type="spellEnd"/>
      <w:r w:rsidRPr="00EE48FD">
        <w:rPr>
          <w:bCs/>
        </w:rPr>
        <w:t xml:space="preserve">) za pojedine zone na području Grada Opatije u kojima se naplaćuje komunalna naknada, koeficijent namjene (Kn) za nekretnine za koje se plaća komunalna naknada, načini i rokovi plaćanja komunalne naknade, nekretnine važne za Grad Opatiju za koje se ne plaća komunalna naknada i opće uvjete i razloge </w:t>
      </w:r>
      <w:r w:rsidRPr="00EE48FD">
        <w:rPr>
          <w:bCs/>
        </w:rPr>
        <w:lastRenderedPageBreak/>
        <w:t>zbog kojih se u pojedinačnim slučajevima odobrava djelomično ili potpuno oslobađanje plaćanja komunalne naknade.</w:t>
      </w:r>
    </w:p>
    <w:p w14:paraId="7072001C" w14:textId="77777777" w:rsidR="009F7D6D" w:rsidRPr="00EE48FD" w:rsidRDefault="009F7D6D" w:rsidP="00B4725D">
      <w:pPr>
        <w:pStyle w:val="box458203"/>
        <w:spacing w:before="0" w:beforeAutospacing="0" w:after="0" w:afterAutospacing="0"/>
        <w:jc w:val="both"/>
        <w:textAlignment w:val="baseline"/>
        <w:rPr>
          <w:bCs/>
        </w:rPr>
      </w:pPr>
    </w:p>
    <w:p w14:paraId="01A72941" w14:textId="568CE8FF" w:rsidR="00FF1AE1" w:rsidRPr="00EE48FD" w:rsidRDefault="00936370" w:rsidP="00187A9E">
      <w:pPr>
        <w:pStyle w:val="box458203"/>
        <w:spacing w:before="0" w:beforeAutospacing="0" w:after="0" w:afterAutospacing="0"/>
        <w:jc w:val="both"/>
        <w:textAlignment w:val="baseline"/>
        <w:rPr>
          <w:bCs/>
        </w:rPr>
      </w:pPr>
      <w:r w:rsidRPr="00EE48FD">
        <w:rPr>
          <w:bCs/>
        </w:rPr>
        <w:t>Ovim prijedlogom Odluke o komunalnoj naknadi</w:t>
      </w:r>
      <w:r w:rsidR="009107F1" w:rsidRPr="00EE48FD">
        <w:rPr>
          <w:bCs/>
        </w:rPr>
        <w:t>,</w:t>
      </w:r>
      <w:r w:rsidRPr="00EE48FD">
        <w:rPr>
          <w:bCs/>
        </w:rPr>
        <w:t xml:space="preserve"> u odnosu na važeću Odluku</w:t>
      </w:r>
      <w:r w:rsidR="009107F1" w:rsidRPr="00EE48FD">
        <w:rPr>
          <w:bCs/>
        </w:rPr>
        <w:t>,</w:t>
      </w:r>
      <w:r w:rsidRPr="00EE48FD">
        <w:rPr>
          <w:bCs/>
        </w:rPr>
        <w:t xml:space="preserve"> u odredbama </w:t>
      </w:r>
      <w:r w:rsidR="009E29F2" w:rsidRPr="00EE48FD">
        <w:rPr>
          <w:bCs/>
        </w:rPr>
        <w:t>koje</w:t>
      </w:r>
      <w:r w:rsidRPr="00EE48FD">
        <w:rPr>
          <w:bCs/>
        </w:rPr>
        <w:t xml:space="preserve"> se odnose na koeficijent namjene (Kn)</w:t>
      </w:r>
      <w:r w:rsidR="009E29F2" w:rsidRPr="00EE48FD">
        <w:rPr>
          <w:bCs/>
        </w:rPr>
        <w:t xml:space="preserve">, </w:t>
      </w:r>
      <w:r w:rsidRPr="00EE48FD">
        <w:rPr>
          <w:bCs/>
        </w:rPr>
        <w:t>rok plaćanja</w:t>
      </w:r>
      <w:r w:rsidR="009E29F2" w:rsidRPr="00EE48FD">
        <w:rPr>
          <w:bCs/>
        </w:rPr>
        <w:t xml:space="preserve">, </w:t>
      </w:r>
      <w:r w:rsidRPr="00EE48FD">
        <w:rPr>
          <w:bCs/>
        </w:rPr>
        <w:t>nekretnine važne za jedinicu lokalne samouprave koje se u potpunosti ili djelomično oslobađaju od plaćanja komunalne naknade</w:t>
      </w:r>
      <w:r w:rsidR="009E29F2" w:rsidRPr="00EE48FD">
        <w:rPr>
          <w:bCs/>
        </w:rPr>
        <w:t xml:space="preserve"> te </w:t>
      </w:r>
      <w:r w:rsidRPr="00EE48FD">
        <w:rPr>
          <w:bCs/>
        </w:rPr>
        <w:t>opći uvjeti i razlozi zbog kojih se u pojedinačnim slučajevima odobrava djelomično ili potpuno oslobađanje od plaćanja komunalne naknade</w:t>
      </w:r>
      <w:r w:rsidR="009E29F2" w:rsidRPr="00EE48FD">
        <w:rPr>
          <w:bCs/>
        </w:rPr>
        <w:t xml:space="preserve">, nema </w:t>
      </w:r>
      <w:r w:rsidR="009107F1" w:rsidRPr="00EE48FD">
        <w:rPr>
          <w:bCs/>
        </w:rPr>
        <w:t>bitnih</w:t>
      </w:r>
      <w:r w:rsidR="009E29F2" w:rsidRPr="00EE48FD">
        <w:rPr>
          <w:bCs/>
        </w:rPr>
        <w:t xml:space="preserve"> promjena. Odlukom se tako </w:t>
      </w:r>
      <w:r w:rsidR="00676888" w:rsidRPr="00EE48FD">
        <w:rPr>
          <w:bCs/>
        </w:rPr>
        <w:t xml:space="preserve">propisuju rokovi plaćanja </w:t>
      </w:r>
      <w:r w:rsidR="009A381F" w:rsidRPr="00EE48FD">
        <w:rPr>
          <w:bCs/>
        </w:rPr>
        <w:t>te</w:t>
      </w:r>
      <w:r w:rsidR="00682B1D" w:rsidRPr="00EE48FD">
        <w:rPr>
          <w:bCs/>
        </w:rPr>
        <w:t xml:space="preserve"> su</w:t>
      </w:r>
      <w:r w:rsidR="009107F1" w:rsidRPr="00EE48FD">
        <w:rPr>
          <w:bCs/>
        </w:rPr>
        <w:t xml:space="preserve"> iznosi </w:t>
      </w:r>
      <w:r w:rsidR="009A381F" w:rsidRPr="00EE48FD">
        <w:rPr>
          <w:bCs/>
        </w:rPr>
        <w:t>obroka iskazani u EUR-ima.</w:t>
      </w:r>
    </w:p>
    <w:p w14:paraId="5739A078" w14:textId="77777777" w:rsidR="009A381F" w:rsidRPr="00EE48FD" w:rsidRDefault="009A381F" w:rsidP="00B4725D">
      <w:pPr>
        <w:pStyle w:val="box458203"/>
        <w:spacing w:before="0" w:beforeAutospacing="0" w:after="0" w:afterAutospacing="0"/>
        <w:jc w:val="both"/>
        <w:textAlignment w:val="baseline"/>
        <w:rPr>
          <w:bCs/>
        </w:rPr>
      </w:pPr>
    </w:p>
    <w:p w14:paraId="710B1703" w14:textId="7EE487F3" w:rsidR="00CE0D99" w:rsidRPr="00EE48FD" w:rsidRDefault="00CE0D99" w:rsidP="00B4725D">
      <w:pPr>
        <w:pStyle w:val="box458203"/>
        <w:spacing w:before="0" w:beforeAutospacing="0" w:after="0" w:afterAutospacing="0"/>
        <w:jc w:val="both"/>
        <w:textAlignment w:val="baseline"/>
        <w:rPr>
          <w:bCs/>
        </w:rPr>
      </w:pPr>
      <w:r w:rsidRPr="00EE48FD">
        <w:rPr>
          <w:bCs/>
        </w:rPr>
        <w:t>Ključne izmjene u odnosu na važeću Odluku predstavljaju promjene područja unutar ZONA te posljedično i koeficijenta ZONA za obračun komunalne naknade. Naime uvažavajući značajne promjene u komunalnoj opremljenosti svih područja Grada Opatije, te povećanje standarda održavanja komunalne infrastrukture</w:t>
      </w:r>
      <w:r w:rsidR="00D23DCF" w:rsidRPr="00EE48FD">
        <w:rPr>
          <w:bCs/>
        </w:rPr>
        <w:t xml:space="preserve"> u proteklih</w:t>
      </w:r>
      <w:r w:rsidR="00682B1D" w:rsidRPr="00EE48FD">
        <w:rPr>
          <w:bCs/>
        </w:rPr>
        <w:t xml:space="preserve"> skoro</w:t>
      </w:r>
      <w:r w:rsidR="00D23DCF" w:rsidRPr="00EE48FD">
        <w:rPr>
          <w:bCs/>
        </w:rPr>
        <w:t xml:space="preserve"> </w:t>
      </w:r>
      <w:r w:rsidR="00187A9E" w:rsidRPr="00EE48FD">
        <w:rPr>
          <w:bCs/>
        </w:rPr>
        <w:t>25</w:t>
      </w:r>
      <w:r w:rsidR="00D23DCF" w:rsidRPr="00EE48FD">
        <w:rPr>
          <w:bCs/>
        </w:rPr>
        <w:t xml:space="preserve"> godina, što je dovelo do ujednačenijeg komunalnog standarda između p</w:t>
      </w:r>
      <w:r w:rsidR="008C2837" w:rsidRPr="00EE48FD">
        <w:rPr>
          <w:bCs/>
        </w:rPr>
        <w:t>o</w:t>
      </w:r>
      <w:r w:rsidR="00D23DCF" w:rsidRPr="00EE48FD">
        <w:rPr>
          <w:bCs/>
        </w:rPr>
        <w:t>jedinih zo</w:t>
      </w:r>
      <w:r w:rsidR="00187A9E" w:rsidRPr="00EE48FD">
        <w:rPr>
          <w:bCs/>
        </w:rPr>
        <w:t>na</w:t>
      </w:r>
      <w:r w:rsidR="00D23DCF" w:rsidRPr="00EE48FD">
        <w:rPr>
          <w:bCs/>
        </w:rPr>
        <w:t xml:space="preserve"> za obračun komunalne naknade</w:t>
      </w:r>
      <w:r w:rsidRPr="00EE48FD">
        <w:rPr>
          <w:bCs/>
        </w:rPr>
        <w:t xml:space="preserve"> </w:t>
      </w:r>
      <w:r w:rsidR="00D23DCF" w:rsidRPr="00EE48FD">
        <w:rPr>
          <w:bCs/>
        </w:rPr>
        <w:t>bilo je nužno redefinirati područja pojedinih ZONA  u odnosu</w:t>
      </w:r>
      <w:r w:rsidR="00910847" w:rsidRPr="00EE48FD">
        <w:rPr>
          <w:bCs/>
        </w:rPr>
        <w:t xml:space="preserve"> na</w:t>
      </w:r>
      <w:r w:rsidR="00D23DCF" w:rsidRPr="00EE48FD">
        <w:rPr>
          <w:bCs/>
        </w:rPr>
        <w:t xml:space="preserve"> kako su bile do sada određene.</w:t>
      </w:r>
    </w:p>
    <w:p w14:paraId="737FFE12" w14:textId="4E7F9A93" w:rsidR="00D23DCF" w:rsidRPr="00EE48FD" w:rsidRDefault="00D23DCF" w:rsidP="00B4725D">
      <w:pPr>
        <w:pStyle w:val="box458203"/>
        <w:spacing w:before="0" w:beforeAutospacing="0" w:after="0" w:afterAutospacing="0"/>
        <w:jc w:val="both"/>
        <w:textAlignment w:val="baseline"/>
        <w:rPr>
          <w:bCs/>
        </w:rPr>
      </w:pPr>
      <w:r w:rsidRPr="00EE48FD">
        <w:rPr>
          <w:bCs/>
        </w:rPr>
        <w:t>Tako se ovim Prijedlogom predlaže</w:t>
      </w:r>
      <w:r w:rsidR="004C423B" w:rsidRPr="00EE48FD">
        <w:rPr>
          <w:bCs/>
        </w:rPr>
        <w:t>, u odnosu na važeću Odluku</w:t>
      </w:r>
      <w:r w:rsidRPr="00EE48FD">
        <w:rPr>
          <w:bCs/>
        </w:rPr>
        <w:t>:</w:t>
      </w:r>
    </w:p>
    <w:p w14:paraId="62D8A743" w14:textId="117A50C1" w:rsidR="00804569" w:rsidRPr="00EE48FD" w:rsidRDefault="008C2837" w:rsidP="008C2837">
      <w:pPr>
        <w:pStyle w:val="box458203"/>
        <w:numPr>
          <w:ilvl w:val="0"/>
          <w:numId w:val="6"/>
        </w:numPr>
        <w:spacing w:after="0"/>
        <w:jc w:val="both"/>
        <w:textAlignment w:val="baseline"/>
        <w:rPr>
          <w:bCs/>
        </w:rPr>
      </w:pPr>
      <w:r w:rsidRPr="00EE48FD">
        <w:rPr>
          <w:bCs/>
        </w:rPr>
        <w:t>Proširenje dosadašnje ZONE I u koju bi sada ušlo dio područja naselja Opatija koja su važećom odlukom bila u ZONI II i to</w:t>
      </w:r>
      <w:r w:rsidR="004C423B" w:rsidRPr="00EE48FD">
        <w:rPr>
          <w:bCs/>
        </w:rPr>
        <w:t>:</w:t>
      </w:r>
      <w:r w:rsidRPr="00EE48FD">
        <w:rPr>
          <w:bCs/>
        </w:rPr>
        <w:t xml:space="preserve"> Volosko (do ulice I.M.</w:t>
      </w:r>
      <w:r w:rsidR="009F7D6D">
        <w:rPr>
          <w:bCs/>
        </w:rPr>
        <w:t xml:space="preserve"> </w:t>
      </w:r>
      <w:r w:rsidRPr="00EE48FD">
        <w:rPr>
          <w:bCs/>
        </w:rPr>
        <w:t>Ronjgova i R.K.</w:t>
      </w:r>
      <w:r w:rsidR="009F7D6D">
        <w:rPr>
          <w:bCs/>
        </w:rPr>
        <w:t xml:space="preserve"> </w:t>
      </w:r>
      <w:proofErr w:type="spellStart"/>
      <w:r w:rsidRPr="00EE48FD">
        <w:rPr>
          <w:bCs/>
        </w:rPr>
        <w:t>Jeretova</w:t>
      </w:r>
      <w:proofErr w:type="spellEnd"/>
      <w:r w:rsidRPr="00EE48FD">
        <w:rPr>
          <w:bCs/>
        </w:rPr>
        <w:t>), ulica M.</w:t>
      </w:r>
      <w:r w:rsidR="009F7D6D">
        <w:rPr>
          <w:bCs/>
        </w:rPr>
        <w:t xml:space="preserve"> </w:t>
      </w:r>
      <w:r w:rsidRPr="00EE48FD">
        <w:rPr>
          <w:bCs/>
        </w:rPr>
        <w:t>Tita od Voloskog do Škrbića (svi objekt</w:t>
      </w:r>
      <w:r w:rsidR="004C423B" w:rsidRPr="00EE48FD">
        <w:rPr>
          <w:bCs/>
        </w:rPr>
        <w:t>i</w:t>
      </w:r>
      <w:r w:rsidRPr="00EE48FD">
        <w:rPr>
          <w:bCs/>
        </w:rPr>
        <w:t xml:space="preserve"> s adresom u tom dijelu ulice), područje ispod Nove ceste od </w:t>
      </w:r>
      <w:proofErr w:type="spellStart"/>
      <w:r w:rsidRPr="00EE48FD">
        <w:rPr>
          <w:bCs/>
        </w:rPr>
        <w:t>Laginjine</w:t>
      </w:r>
      <w:proofErr w:type="spellEnd"/>
      <w:r w:rsidRPr="00EE48FD">
        <w:rPr>
          <w:bCs/>
        </w:rPr>
        <w:t xml:space="preserve"> ulice do ulice V.</w:t>
      </w:r>
      <w:r w:rsidR="009F7D6D">
        <w:rPr>
          <w:bCs/>
        </w:rPr>
        <w:t xml:space="preserve"> </w:t>
      </w:r>
      <w:r w:rsidRPr="00EE48FD">
        <w:rPr>
          <w:bCs/>
        </w:rPr>
        <w:t xml:space="preserve">Jože, područje ispod </w:t>
      </w:r>
      <w:proofErr w:type="spellStart"/>
      <w:r w:rsidRPr="00EE48FD">
        <w:rPr>
          <w:bCs/>
        </w:rPr>
        <w:t>Rakovčeve</w:t>
      </w:r>
      <w:proofErr w:type="spellEnd"/>
      <w:r w:rsidRPr="00EE48FD">
        <w:rPr>
          <w:bCs/>
        </w:rPr>
        <w:t xml:space="preserve"> ulice, područje ispod Nove ceste do Punta </w:t>
      </w:r>
      <w:proofErr w:type="spellStart"/>
      <w:r w:rsidRPr="00EE48FD">
        <w:rPr>
          <w:bCs/>
        </w:rPr>
        <w:t>Kolove</w:t>
      </w:r>
      <w:proofErr w:type="spellEnd"/>
      <w:r w:rsidRPr="00EE48FD">
        <w:rPr>
          <w:bCs/>
        </w:rPr>
        <w:t xml:space="preserve"> te ulica Maršala Tita do </w:t>
      </w:r>
      <w:proofErr w:type="spellStart"/>
      <w:r w:rsidRPr="00EE48FD">
        <w:rPr>
          <w:bCs/>
        </w:rPr>
        <w:t>Ičića</w:t>
      </w:r>
      <w:proofErr w:type="spellEnd"/>
      <w:r w:rsidR="00ED5C1E" w:rsidRPr="00EE48FD">
        <w:rPr>
          <w:bCs/>
        </w:rPr>
        <w:t xml:space="preserve"> (koeficijent 1)</w:t>
      </w:r>
    </w:p>
    <w:p w14:paraId="576524E3" w14:textId="243D6A63" w:rsidR="00D23DCF" w:rsidRPr="00EE48FD" w:rsidRDefault="008C2837" w:rsidP="008C2837">
      <w:pPr>
        <w:pStyle w:val="box458203"/>
        <w:numPr>
          <w:ilvl w:val="0"/>
          <w:numId w:val="6"/>
        </w:numPr>
        <w:spacing w:before="0" w:beforeAutospacing="0" w:after="0" w:afterAutospacing="0"/>
        <w:jc w:val="both"/>
        <w:textAlignment w:val="baseline"/>
        <w:rPr>
          <w:bCs/>
        </w:rPr>
      </w:pPr>
      <w:r w:rsidRPr="00EE48FD">
        <w:rPr>
          <w:bCs/>
        </w:rPr>
        <w:t>Spajanje dosadašnjih dijelova ZONE II u naselju Opatija (Opatija II i Volosko II i III)  u novu ZONU III</w:t>
      </w:r>
      <w:r w:rsidR="0099411D" w:rsidRPr="00EE48FD">
        <w:rPr>
          <w:bCs/>
          <w:color w:val="EE0000"/>
        </w:rPr>
        <w:t xml:space="preserve"> </w:t>
      </w:r>
      <w:r w:rsidR="00ED5C1E" w:rsidRPr="00EE48FD">
        <w:rPr>
          <w:bCs/>
        </w:rPr>
        <w:t>(koeficijent 0,8)</w:t>
      </w:r>
    </w:p>
    <w:p w14:paraId="7C070F14" w14:textId="141E6FD4" w:rsidR="00804569" w:rsidRPr="00EE48FD" w:rsidRDefault="004C423B" w:rsidP="00D23DCF">
      <w:pPr>
        <w:pStyle w:val="box458203"/>
        <w:numPr>
          <w:ilvl w:val="0"/>
          <w:numId w:val="6"/>
        </w:numPr>
        <w:spacing w:before="0" w:beforeAutospacing="0" w:after="0" w:afterAutospacing="0"/>
        <w:jc w:val="both"/>
        <w:textAlignment w:val="baseline"/>
        <w:rPr>
          <w:bCs/>
        </w:rPr>
      </w:pPr>
      <w:r w:rsidRPr="00EE48FD">
        <w:rPr>
          <w:bCs/>
        </w:rPr>
        <w:t xml:space="preserve">Povećanje koeficijenata za dio područja naselja Ičići i naselja Ika iznad područja ZONE 2, do granica s naseljima Poljane, Veprinac i </w:t>
      </w:r>
      <w:proofErr w:type="spellStart"/>
      <w:r w:rsidRPr="00EE48FD">
        <w:rPr>
          <w:bCs/>
        </w:rPr>
        <w:t>Oprič</w:t>
      </w:r>
      <w:proofErr w:type="spellEnd"/>
      <w:r w:rsidRPr="00EE48FD">
        <w:rPr>
          <w:bCs/>
        </w:rPr>
        <w:t xml:space="preserve"> s 0,5 na 0,6 /dosad</w:t>
      </w:r>
      <w:r w:rsidR="00ED5C1E" w:rsidRPr="00EE48FD">
        <w:rPr>
          <w:bCs/>
        </w:rPr>
        <w:t>a</w:t>
      </w:r>
      <w:r w:rsidRPr="00EE48FD">
        <w:rPr>
          <w:bCs/>
        </w:rPr>
        <w:t>šnje područje IČIĆI/IKA II)</w:t>
      </w:r>
    </w:p>
    <w:p w14:paraId="0FB7EB98" w14:textId="6B379105" w:rsidR="004C423B" w:rsidRPr="00EE48FD" w:rsidRDefault="004C423B" w:rsidP="00D23DCF">
      <w:pPr>
        <w:pStyle w:val="box458203"/>
        <w:numPr>
          <w:ilvl w:val="0"/>
          <w:numId w:val="6"/>
        </w:numPr>
        <w:spacing w:before="0" w:beforeAutospacing="0" w:after="0" w:afterAutospacing="0"/>
        <w:jc w:val="both"/>
        <w:textAlignment w:val="baseline"/>
        <w:rPr>
          <w:bCs/>
        </w:rPr>
      </w:pPr>
      <w:r w:rsidRPr="00EE48FD">
        <w:rPr>
          <w:bCs/>
        </w:rPr>
        <w:t xml:space="preserve">Povećanje koeficijenata za područje naselja Oprić i </w:t>
      </w:r>
      <w:proofErr w:type="spellStart"/>
      <w:r w:rsidRPr="00EE48FD">
        <w:rPr>
          <w:bCs/>
        </w:rPr>
        <w:t>Pobri</w:t>
      </w:r>
      <w:proofErr w:type="spellEnd"/>
      <w:r w:rsidRPr="00EE48FD">
        <w:rPr>
          <w:bCs/>
        </w:rPr>
        <w:t xml:space="preserve"> s 0,3 na 0,5</w:t>
      </w:r>
    </w:p>
    <w:p w14:paraId="5943784A" w14:textId="07295403" w:rsidR="004C423B" w:rsidRPr="00EE48FD" w:rsidRDefault="004C423B" w:rsidP="00D23DCF">
      <w:pPr>
        <w:pStyle w:val="box458203"/>
        <w:numPr>
          <w:ilvl w:val="0"/>
          <w:numId w:val="6"/>
        </w:numPr>
        <w:spacing w:before="0" w:beforeAutospacing="0" w:after="0" w:afterAutospacing="0"/>
        <w:jc w:val="both"/>
        <w:textAlignment w:val="baseline"/>
        <w:rPr>
          <w:bCs/>
        </w:rPr>
      </w:pPr>
      <w:r w:rsidRPr="00EE48FD">
        <w:rPr>
          <w:bCs/>
        </w:rPr>
        <w:t xml:space="preserve">Povećanje koeficijenata za područje naselja Poljane, Veprinac i </w:t>
      </w:r>
      <w:proofErr w:type="spellStart"/>
      <w:r w:rsidRPr="00EE48FD">
        <w:rPr>
          <w:bCs/>
        </w:rPr>
        <w:t>Dobreć</w:t>
      </w:r>
      <w:proofErr w:type="spellEnd"/>
      <w:r w:rsidRPr="00EE48FD">
        <w:rPr>
          <w:bCs/>
        </w:rPr>
        <w:t xml:space="preserve"> s 0,3 na 0,</w:t>
      </w:r>
      <w:r w:rsidR="0060512E" w:rsidRPr="00EE48FD">
        <w:rPr>
          <w:bCs/>
        </w:rPr>
        <w:t>4</w:t>
      </w:r>
    </w:p>
    <w:p w14:paraId="18F15325" w14:textId="2B425388" w:rsidR="004C423B" w:rsidRPr="00EE48FD" w:rsidRDefault="004C423B" w:rsidP="004C423B">
      <w:pPr>
        <w:pStyle w:val="box458203"/>
        <w:spacing w:before="0" w:beforeAutospacing="0" w:after="0" w:afterAutospacing="0"/>
        <w:jc w:val="both"/>
        <w:textAlignment w:val="baseline"/>
        <w:rPr>
          <w:bCs/>
        </w:rPr>
      </w:pPr>
      <w:r w:rsidRPr="00EE48FD">
        <w:rPr>
          <w:bCs/>
        </w:rPr>
        <w:t xml:space="preserve">Područje naselja Vela i Mala Učka zadržalo bi isti koeficijent (0,3) kao i područje dijela naselja </w:t>
      </w:r>
      <w:proofErr w:type="spellStart"/>
      <w:r w:rsidRPr="00EE48FD">
        <w:rPr>
          <w:bCs/>
        </w:rPr>
        <w:t>Ičići</w:t>
      </w:r>
      <w:proofErr w:type="spellEnd"/>
      <w:r w:rsidRPr="00EE48FD">
        <w:rPr>
          <w:bCs/>
        </w:rPr>
        <w:t xml:space="preserve">, </w:t>
      </w:r>
      <w:proofErr w:type="spellStart"/>
      <w:r w:rsidRPr="00EE48FD">
        <w:rPr>
          <w:bCs/>
        </w:rPr>
        <w:t>Liburnijska</w:t>
      </w:r>
      <w:proofErr w:type="spellEnd"/>
      <w:r w:rsidRPr="00EE48FD">
        <w:rPr>
          <w:bCs/>
        </w:rPr>
        <w:t xml:space="preserve"> ulica i naselja Ika, Primorska ulica (0,9).</w:t>
      </w:r>
    </w:p>
    <w:p w14:paraId="56119B30" w14:textId="77777777" w:rsidR="009A381F" w:rsidRPr="00EE48FD" w:rsidRDefault="009A381F" w:rsidP="00B4725D">
      <w:pPr>
        <w:pStyle w:val="box458203"/>
        <w:spacing w:before="0" w:beforeAutospacing="0" w:after="0" w:afterAutospacing="0"/>
        <w:jc w:val="both"/>
        <w:textAlignment w:val="baseline"/>
        <w:rPr>
          <w:bCs/>
        </w:rPr>
      </w:pPr>
    </w:p>
    <w:p w14:paraId="5316C388" w14:textId="27D5A309" w:rsidR="00ED5C1E" w:rsidRPr="00EE48FD" w:rsidRDefault="00ED5C1E" w:rsidP="00B4725D">
      <w:pPr>
        <w:pStyle w:val="box458203"/>
        <w:spacing w:before="0" w:beforeAutospacing="0" w:after="0" w:afterAutospacing="0"/>
        <w:jc w:val="both"/>
        <w:textAlignment w:val="baseline"/>
        <w:rPr>
          <w:bCs/>
        </w:rPr>
      </w:pPr>
      <w:r w:rsidRPr="00EE48FD">
        <w:rPr>
          <w:bCs/>
        </w:rPr>
        <w:t>Predložena promjena</w:t>
      </w:r>
      <w:r w:rsidR="009A381F" w:rsidRPr="00EE48FD">
        <w:rPr>
          <w:bCs/>
        </w:rPr>
        <w:t xml:space="preserve"> </w:t>
      </w:r>
      <w:r w:rsidRPr="00EE48FD">
        <w:rPr>
          <w:bCs/>
        </w:rPr>
        <w:t>smatramo da realnije odgovara trenutnom stanju opremljenosti komunalnom i ostalom javnom infrastrukturom te standardom održavanja komunalne infra</w:t>
      </w:r>
      <w:r w:rsidR="00A05DD6" w:rsidRPr="00EE48FD">
        <w:rPr>
          <w:bCs/>
        </w:rPr>
        <w:t>st</w:t>
      </w:r>
      <w:r w:rsidRPr="00EE48FD">
        <w:rPr>
          <w:bCs/>
        </w:rPr>
        <w:t>rukture.</w:t>
      </w:r>
    </w:p>
    <w:p w14:paraId="4FA93C4F" w14:textId="77777777" w:rsidR="004E5A15" w:rsidRPr="00EE48FD" w:rsidRDefault="004E5A15" w:rsidP="004E5A15">
      <w:pPr>
        <w:pStyle w:val="box458203"/>
        <w:spacing w:before="0" w:beforeAutospacing="0" w:after="0" w:afterAutospacing="0"/>
        <w:jc w:val="both"/>
        <w:textAlignment w:val="baseline"/>
        <w:rPr>
          <w:bCs/>
        </w:rPr>
      </w:pPr>
    </w:p>
    <w:p w14:paraId="1EB123A5" w14:textId="6D1A657B" w:rsidR="004E5A15" w:rsidRPr="00EE48FD" w:rsidRDefault="004E5A15" w:rsidP="004E5A15">
      <w:pPr>
        <w:pStyle w:val="box458203"/>
        <w:spacing w:before="0" w:beforeAutospacing="0" w:after="0" w:afterAutospacing="0"/>
        <w:jc w:val="both"/>
        <w:textAlignment w:val="baseline"/>
        <w:rPr>
          <w:bCs/>
        </w:rPr>
      </w:pPr>
      <w:r w:rsidRPr="00EE48FD">
        <w:rPr>
          <w:bCs/>
        </w:rPr>
        <w:t>Što se tiče koeficijenta namjene, za stambeni prostor koeficijent namjene iznosi 1, a isti je određen Zakonom. Za poslovne prostore koeficijenti namjene određeni su ovisno o djelatnosti</w:t>
      </w:r>
      <w:r w:rsidR="00FA29EA" w:rsidRPr="00EE48FD">
        <w:rPr>
          <w:bCs/>
        </w:rPr>
        <w:t>, a ovim prijedlogom Odluke koeficijenti i djelatnosti nisu mijenjani u odnosu na važeću Odluku.</w:t>
      </w:r>
    </w:p>
    <w:p w14:paraId="0CB1283E" w14:textId="72DB0297" w:rsidR="004E5A15" w:rsidRPr="00EE48FD" w:rsidRDefault="004E5A15" w:rsidP="004E5A15">
      <w:pPr>
        <w:pStyle w:val="box458203"/>
        <w:spacing w:before="0" w:beforeAutospacing="0" w:after="0" w:afterAutospacing="0"/>
        <w:jc w:val="both"/>
        <w:textAlignment w:val="baseline"/>
        <w:rPr>
          <w:bCs/>
        </w:rPr>
      </w:pPr>
      <w:r w:rsidRPr="00EE48FD">
        <w:rPr>
          <w:bCs/>
        </w:rPr>
        <w:t>Ističemo da se</w:t>
      </w:r>
      <w:r w:rsidR="00FA29EA" w:rsidRPr="00EE48FD">
        <w:rPr>
          <w:bCs/>
        </w:rPr>
        <w:t xml:space="preserve"> </w:t>
      </w:r>
      <w:r w:rsidRPr="00EE48FD">
        <w:rPr>
          <w:bCs/>
        </w:rPr>
        <w:t>komunalna naknada za hotele može, osim po površini, obračunati i po prihodu. Naime, sukladno članku 97. stavku 3. Zakona o komunalnom gospodarstvu za hotele, turistička naselja, kampove i golf igrališta visina godišnje komunalne naknade ne može biti veća od 1,5 % ukupnoga godišnjeg prihoda obveznika komunalne naknade iz prethodne godine ostvarenog u pojedinom hotelu, turističkom naselju, kampu i na golf igralištu za koje se plaća komunalna naknada, kada se ista obračunava po prihodu.</w:t>
      </w:r>
    </w:p>
    <w:p w14:paraId="5A57EF4A" w14:textId="77777777" w:rsidR="00FA29EA" w:rsidRPr="00EE48FD" w:rsidRDefault="00FA29EA" w:rsidP="00FA29EA">
      <w:pPr>
        <w:pStyle w:val="box458203"/>
        <w:spacing w:before="0" w:beforeAutospacing="0" w:after="0" w:afterAutospacing="0"/>
        <w:jc w:val="both"/>
        <w:textAlignment w:val="baseline"/>
      </w:pPr>
    </w:p>
    <w:p w14:paraId="1C246DE8" w14:textId="196D4DF1" w:rsidR="00FA29EA" w:rsidRPr="00EE48FD" w:rsidRDefault="00FA29EA" w:rsidP="00FA29EA">
      <w:pPr>
        <w:pStyle w:val="box458203"/>
        <w:spacing w:before="0" w:beforeAutospacing="0" w:after="0" w:afterAutospacing="0"/>
        <w:jc w:val="both"/>
        <w:textAlignment w:val="baseline"/>
      </w:pPr>
      <w:r w:rsidRPr="00EE48FD">
        <w:t>Komunalna naknada obračunava po četvornome metru (m²) površine nekretnine za koju se utvrđuje obveza plaćanja komunalne naknade i to kao umnožak koeficijenta zone (</w:t>
      </w:r>
      <w:proofErr w:type="spellStart"/>
      <w:r w:rsidRPr="00EE48FD">
        <w:t>Kz</w:t>
      </w:r>
      <w:proofErr w:type="spellEnd"/>
      <w:r w:rsidRPr="00EE48FD">
        <w:t xml:space="preserve">), </w:t>
      </w:r>
      <w:r w:rsidRPr="00EE48FD">
        <w:lastRenderedPageBreak/>
        <w:t>koeficijenta namjene (Kn), vrijednosti boda komunalne naknade (B) te površine nekretnine (m²), a utvrđuje s rješenjem nadležnog upravnog odjela.</w:t>
      </w:r>
    </w:p>
    <w:p w14:paraId="0CD5BED3" w14:textId="2DCE2391" w:rsidR="008F05CE" w:rsidRPr="00EE48FD" w:rsidRDefault="008F05CE" w:rsidP="00FA29EA">
      <w:pPr>
        <w:pStyle w:val="box458203"/>
        <w:spacing w:before="0" w:beforeAutospacing="0" w:after="0" w:afterAutospacing="0"/>
        <w:jc w:val="both"/>
        <w:textAlignment w:val="baseline"/>
      </w:pPr>
    </w:p>
    <w:p w14:paraId="5867E604" w14:textId="4C69781A" w:rsidR="008F05CE" w:rsidRPr="00EE48FD" w:rsidRDefault="008F05CE" w:rsidP="00FA29EA">
      <w:pPr>
        <w:pStyle w:val="box458203"/>
        <w:spacing w:before="0" w:beforeAutospacing="0" w:after="0" w:afterAutospacing="0"/>
        <w:jc w:val="both"/>
        <w:textAlignment w:val="baseline"/>
      </w:pPr>
      <w:r w:rsidRPr="00EE48FD">
        <w:t>Tako bi se prema prijedlogu ove Odluke</w:t>
      </w:r>
      <w:r w:rsidR="005E06AC" w:rsidRPr="00EE48FD">
        <w:t xml:space="preserve">, </w:t>
      </w:r>
      <w:r w:rsidRPr="00EE48FD">
        <w:t>uz povećanje vrijednosti boda komunalne naknade s 1,38 EUR/m2 na 2,00 EUR po m2, povećao iznos komunalne naknade</w:t>
      </w:r>
      <w:r w:rsidR="00ED5C1E" w:rsidRPr="00EE48FD">
        <w:t xml:space="preserve"> kod obveznika čiji objekti mijenjaju ZONU i/ili koeficijent ZONE</w:t>
      </w:r>
      <w:r w:rsidRPr="00EE48FD">
        <w:t>:</w:t>
      </w:r>
    </w:p>
    <w:p w14:paraId="7B28C1FD" w14:textId="77777777" w:rsidR="003307C8" w:rsidRPr="00EE48FD" w:rsidRDefault="003307C8" w:rsidP="00FA29EA">
      <w:pPr>
        <w:pStyle w:val="box458203"/>
        <w:spacing w:before="0" w:beforeAutospacing="0" w:after="0" w:afterAutospacing="0"/>
        <w:jc w:val="both"/>
        <w:textAlignment w:val="baseline"/>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50"/>
        <w:gridCol w:w="855"/>
        <w:gridCol w:w="854"/>
        <w:gridCol w:w="709"/>
        <w:gridCol w:w="984"/>
        <w:gridCol w:w="993"/>
        <w:gridCol w:w="1134"/>
        <w:gridCol w:w="1275"/>
      </w:tblGrid>
      <w:tr w:rsidR="00AE6314" w:rsidRPr="00EE48FD" w14:paraId="636CAD2D" w14:textId="77777777" w:rsidTr="00A05DD6">
        <w:trPr>
          <w:trHeight w:val="578"/>
          <w:jc w:val="center"/>
        </w:trPr>
        <w:tc>
          <w:tcPr>
            <w:tcW w:w="1413" w:type="dxa"/>
            <w:vMerge w:val="restart"/>
            <w:noWrap/>
            <w:vAlign w:val="center"/>
            <w:hideMark/>
          </w:tcPr>
          <w:p w14:paraId="3BE0EA08" w14:textId="77777777" w:rsidR="00A05DD6" w:rsidRPr="00EE48FD" w:rsidRDefault="00A05DD6" w:rsidP="003307C8">
            <w:pPr>
              <w:spacing w:after="0" w:line="240" w:lineRule="auto"/>
              <w:jc w:val="center"/>
              <w:rPr>
                <w:rFonts w:ascii="Times New Roman" w:eastAsia="Times New Roman" w:hAnsi="Times New Roman" w:cs="Times New Roman"/>
                <w:b/>
                <w:bCs/>
                <w:sz w:val="16"/>
                <w:szCs w:val="16"/>
                <w:lang w:eastAsia="en-GB"/>
              </w:rPr>
            </w:pPr>
            <w:r w:rsidRPr="00EE48FD">
              <w:rPr>
                <w:rFonts w:ascii="Times New Roman" w:eastAsia="Times New Roman" w:hAnsi="Times New Roman" w:cs="Times New Roman"/>
                <w:b/>
                <w:bCs/>
                <w:sz w:val="16"/>
                <w:szCs w:val="16"/>
                <w:lang w:eastAsia="en-GB"/>
              </w:rPr>
              <w:t>NASELJA</w:t>
            </w:r>
          </w:p>
        </w:tc>
        <w:tc>
          <w:tcPr>
            <w:tcW w:w="2559" w:type="dxa"/>
            <w:gridSpan w:val="3"/>
            <w:noWrap/>
            <w:vAlign w:val="center"/>
            <w:hideMark/>
          </w:tcPr>
          <w:p w14:paraId="704C5E5B" w14:textId="77777777" w:rsidR="00A05DD6" w:rsidRPr="00EE48FD" w:rsidRDefault="00A05DD6" w:rsidP="003307C8">
            <w:pPr>
              <w:spacing w:after="0" w:line="240" w:lineRule="auto"/>
              <w:jc w:val="center"/>
              <w:rPr>
                <w:rFonts w:ascii="Times New Roman" w:eastAsia="Times New Roman" w:hAnsi="Times New Roman" w:cs="Times New Roman"/>
                <w:b/>
                <w:bCs/>
                <w:sz w:val="16"/>
                <w:szCs w:val="16"/>
                <w:lang w:eastAsia="en-GB"/>
              </w:rPr>
            </w:pPr>
            <w:r w:rsidRPr="00EE48FD">
              <w:rPr>
                <w:rFonts w:ascii="Times New Roman" w:eastAsia="Times New Roman" w:hAnsi="Times New Roman" w:cs="Times New Roman"/>
                <w:b/>
                <w:bCs/>
                <w:sz w:val="16"/>
                <w:szCs w:val="16"/>
                <w:lang w:eastAsia="en-GB"/>
              </w:rPr>
              <w:t>SADAŠNJE STANJE</w:t>
            </w:r>
          </w:p>
        </w:tc>
        <w:tc>
          <w:tcPr>
            <w:tcW w:w="5095" w:type="dxa"/>
            <w:gridSpan w:val="5"/>
            <w:vAlign w:val="center"/>
            <w:hideMark/>
          </w:tcPr>
          <w:p w14:paraId="2A06D6D7" w14:textId="54F8858E" w:rsidR="00A05DD6" w:rsidRPr="00EE48FD" w:rsidRDefault="00A05DD6" w:rsidP="00A05DD6">
            <w:pPr>
              <w:spacing w:after="0" w:line="240" w:lineRule="auto"/>
              <w:jc w:val="center"/>
              <w:rPr>
                <w:rFonts w:ascii="Times New Roman" w:eastAsia="Times New Roman" w:hAnsi="Times New Roman" w:cs="Times New Roman"/>
                <w:b/>
                <w:bCs/>
                <w:sz w:val="16"/>
                <w:szCs w:val="16"/>
                <w:lang w:eastAsia="en-GB"/>
              </w:rPr>
            </w:pPr>
            <w:r w:rsidRPr="00EE48FD">
              <w:rPr>
                <w:rFonts w:ascii="Times New Roman" w:eastAsia="Times New Roman" w:hAnsi="Times New Roman" w:cs="Times New Roman"/>
                <w:b/>
                <w:bCs/>
                <w:sz w:val="16"/>
                <w:szCs w:val="16"/>
                <w:lang w:eastAsia="en-GB"/>
              </w:rPr>
              <w:t>STANJE PREMA PRIJEDLOGU ODLUKE</w:t>
            </w:r>
          </w:p>
        </w:tc>
      </w:tr>
      <w:tr w:rsidR="00AE6314" w:rsidRPr="00EE48FD" w14:paraId="33C1BA3C" w14:textId="77777777" w:rsidTr="00A05DD6">
        <w:trPr>
          <w:trHeight w:val="1175"/>
          <w:jc w:val="center"/>
        </w:trPr>
        <w:tc>
          <w:tcPr>
            <w:tcW w:w="1413" w:type="dxa"/>
            <w:vMerge/>
            <w:vAlign w:val="center"/>
            <w:hideMark/>
          </w:tcPr>
          <w:p w14:paraId="5B3C8497" w14:textId="77777777" w:rsidR="00A05DD6" w:rsidRPr="00EE48FD" w:rsidRDefault="00A05DD6" w:rsidP="003307C8">
            <w:pPr>
              <w:spacing w:after="0" w:line="240" w:lineRule="auto"/>
              <w:jc w:val="center"/>
              <w:rPr>
                <w:rFonts w:ascii="Times New Roman" w:eastAsia="Times New Roman" w:hAnsi="Times New Roman" w:cs="Times New Roman"/>
                <w:b/>
                <w:bCs/>
                <w:sz w:val="16"/>
                <w:szCs w:val="16"/>
                <w:lang w:eastAsia="en-GB"/>
              </w:rPr>
            </w:pPr>
          </w:p>
        </w:tc>
        <w:tc>
          <w:tcPr>
            <w:tcW w:w="850" w:type="dxa"/>
            <w:vAlign w:val="center"/>
            <w:hideMark/>
          </w:tcPr>
          <w:p w14:paraId="3BB78E9D" w14:textId="5E0F0F4F" w:rsidR="00A05DD6" w:rsidRPr="00EE48FD" w:rsidRDefault="00A05DD6" w:rsidP="003307C8">
            <w:pPr>
              <w:spacing w:after="0" w:line="240" w:lineRule="auto"/>
              <w:jc w:val="center"/>
              <w:rPr>
                <w:rFonts w:ascii="Times New Roman" w:eastAsia="Times New Roman" w:hAnsi="Times New Roman" w:cs="Times New Roman"/>
                <w:b/>
                <w:bCs/>
                <w:sz w:val="16"/>
                <w:szCs w:val="16"/>
                <w:lang w:eastAsia="en-GB"/>
              </w:rPr>
            </w:pPr>
            <w:proofErr w:type="spellStart"/>
            <w:r w:rsidRPr="00EE48FD">
              <w:rPr>
                <w:rFonts w:ascii="Times New Roman" w:eastAsia="Times New Roman" w:hAnsi="Times New Roman" w:cs="Times New Roman"/>
                <w:b/>
                <w:bCs/>
                <w:sz w:val="16"/>
                <w:szCs w:val="16"/>
                <w:lang w:eastAsia="en-GB"/>
              </w:rPr>
              <w:t>Koefic</w:t>
            </w:r>
            <w:proofErr w:type="spellEnd"/>
            <w:r w:rsidRPr="00EE48FD">
              <w:rPr>
                <w:rFonts w:ascii="Times New Roman" w:eastAsia="Times New Roman" w:hAnsi="Times New Roman" w:cs="Times New Roman"/>
                <w:b/>
                <w:bCs/>
                <w:sz w:val="16"/>
                <w:szCs w:val="16"/>
                <w:lang w:eastAsia="en-GB"/>
              </w:rPr>
              <w:t>. ZONE</w:t>
            </w:r>
          </w:p>
        </w:tc>
        <w:tc>
          <w:tcPr>
            <w:tcW w:w="855" w:type="dxa"/>
            <w:vAlign w:val="center"/>
            <w:hideMark/>
          </w:tcPr>
          <w:p w14:paraId="0BE6FD3F" w14:textId="6415B3FD" w:rsidR="00A05DD6" w:rsidRPr="00EE48FD" w:rsidRDefault="00A05DD6" w:rsidP="003307C8">
            <w:pPr>
              <w:spacing w:after="0" w:line="240" w:lineRule="auto"/>
              <w:jc w:val="center"/>
              <w:rPr>
                <w:rFonts w:ascii="Times New Roman" w:eastAsia="Times New Roman" w:hAnsi="Times New Roman" w:cs="Times New Roman"/>
                <w:b/>
                <w:bCs/>
                <w:sz w:val="16"/>
                <w:szCs w:val="16"/>
                <w:lang w:eastAsia="en-GB"/>
              </w:rPr>
            </w:pPr>
            <w:r w:rsidRPr="00EE48FD">
              <w:rPr>
                <w:rFonts w:ascii="Times New Roman" w:eastAsia="Times New Roman" w:hAnsi="Times New Roman" w:cs="Times New Roman"/>
                <w:b/>
                <w:bCs/>
                <w:sz w:val="16"/>
                <w:szCs w:val="16"/>
                <w:lang w:eastAsia="en-GB"/>
              </w:rPr>
              <w:t>VRIJED.BODA</w:t>
            </w:r>
          </w:p>
        </w:tc>
        <w:tc>
          <w:tcPr>
            <w:tcW w:w="854" w:type="dxa"/>
            <w:vAlign w:val="center"/>
            <w:hideMark/>
          </w:tcPr>
          <w:p w14:paraId="378E160E" w14:textId="1C78AA6C" w:rsidR="00A05DD6" w:rsidRPr="00EE48FD" w:rsidRDefault="00A05DD6" w:rsidP="003307C8">
            <w:pPr>
              <w:spacing w:after="0" w:line="240" w:lineRule="auto"/>
              <w:jc w:val="center"/>
              <w:rPr>
                <w:rFonts w:ascii="Times New Roman" w:eastAsia="Times New Roman" w:hAnsi="Times New Roman" w:cs="Times New Roman"/>
                <w:b/>
                <w:bCs/>
                <w:sz w:val="16"/>
                <w:szCs w:val="16"/>
                <w:lang w:eastAsia="en-GB"/>
              </w:rPr>
            </w:pPr>
            <w:proofErr w:type="spellStart"/>
            <w:r w:rsidRPr="00EE48FD">
              <w:rPr>
                <w:rFonts w:ascii="Times New Roman" w:eastAsia="Times New Roman" w:hAnsi="Times New Roman" w:cs="Times New Roman"/>
                <w:b/>
                <w:bCs/>
                <w:sz w:val="16"/>
                <w:szCs w:val="16"/>
                <w:lang w:eastAsia="en-GB"/>
              </w:rPr>
              <w:t>iznos</w:t>
            </w:r>
            <w:proofErr w:type="spellEnd"/>
            <w:r w:rsidRPr="00EE48FD">
              <w:rPr>
                <w:rFonts w:ascii="Times New Roman" w:eastAsia="Times New Roman" w:hAnsi="Times New Roman" w:cs="Times New Roman"/>
                <w:b/>
                <w:bCs/>
                <w:sz w:val="16"/>
                <w:szCs w:val="16"/>
                <w:lang w:eastAsia="en-GB"/>
              </w:rPr>
              <w:t xml:space="preserve"> po m2 </w:t>
            </w:r>
            <w:proofErr w:type="spellStart"/>
            <w:r w:rsidRPr="00EE48FD">
              <w:rPr>
                <w:rFonts w:ascii="Times New Roman" w:eastAsia="Times New Roman" w:hAnsi="Times New Roman" w:cs="Times New Roman"/>
                <w:b/>
                <w:bCs/>
                <w:sz w:val="16"/>
                <w:szCs w:val="16"/>
                <w:lang w:eastAsia="en-GB"/>
              </w:rPr>
              <w:t>godišnje</w:t>
            </w:r>
            <w:proofErr w:type="spellEnd"/>
          </w:p>
        </w:tc>
        <w:tc>
          <w:tcPr>
            <w:tcW w:w="709" w:type="dxa"/>
            <w:vAlign w:val="center"/>
            <w:hideMark/>
          </w:tcPr>
          <w:p w14:paraId="1585AF37" w14:textId="6D7CA645" w:rsidR="00A05DD6" w:rsidRPr="00EE48FD" w:rsidRDefault="00A05DD6" w:rsidP="003307C8">
            <w:pPr>
              <w:spacing w:after="0" w:line="240" w:lineRule="auto"/>
              <w:jc w:val="center"/>
              <w:rPr>
                <w:rFonts w:ascii="Times New Roman" w:eastAsia="Times New Roman" w:hAnsi="Times New Roman" w:cs="Times New Roman"/>
                <w:b/>
                <w:bCs/>
                <w:sz w:val="16"/>
                <w:szCs w:val="16"/>
                <w:lang w:eastAsia="en-GB"/>
              </w:rPr>
            </w:pPr>
            <w:proofErr w:type="spellStart"/>
            <w:r w:rsidRPr="00EE48FD">
              <w:rPr>
                <w:rFonts w:ascii="Times New Roman" w:eastAsia="Times New Roman" w:hAnsi="Times New Roman" w:cs="Times New Roman"/>
                <w:b/>
                <w:bCs/>
                <w:sz w:val="16"/>
                <w:szCs w:val="16"/>
                <w:lang w:eastAsia="en-GB"/>
              </w:rPr>
              <w:t>Koefic.ZONE</w:t>
            </w:r>
            <w:proofErr w:type="spellEnd"/>
          </w:p>
        </w:tc>
        <w:tc>
          <w:tcPr>
            <w:tcW w:w="984" w:type="dxa"/>
            <w:vAlign w:val="center"/>
            <w:hideMark/>
          </w:tcPr>
          <w:p w14:paraId="449F7DF0" w14:textId="5A5749AC" w:rsidR="00A05DD6" w:rsidRPr="00EE48FD" w:rsidRDefault="00A05DD6" w:rsidP="003307C8">
            <w:pPr>
              <w:spacing w:after="0" w:line="240" w:lineRule="auto"/>
              <w:jc w:val="center"/>
              <w:rPr>
                <w:rFonts w:ascii="Times New Roman" w:eastAsia="Times New Roman" w:hAnsi="Times New Roman" w:cs="Times New Roman"/>
                <w:b/>
                <w:bCs/>
                <w:sz w:val="16"/>
                <w:szCs w:val="16"/>
                <w:lang w:eastAsia="en-GB"/>
              </w:rPr>
            </w:pPr>
            <w:r w:rsidRPr="00EE48FD">
              <w:rPr>
                <w:rFonts w:ascii="Times New Roman" w:eastAsia="Times New Roman" w:hAnsi="Times New Roman" w:cs="Times New Roman"/>
                <w:b/>
                <w:bCs/>
                <w:sz w:val="16"/>
                <w:szCs w:val="16"/>
                <w:lang w:eastAsia="en-GB"/>
              </w:rPr>
              <w:t>VRIJED. BODA</w:t>
            </w:r>
          </w:p>
        </w:tc>
        <w:tc>
          <w:tcPr>
            <w:tcW w:w="993" w:type="dxa"/>
            <w:vAlign w:val="center"/>
            <w:hideMark/>
          </w:tcPr>
          <w:p w14:paraId="35AF396E" w14:textId="5C2EAE73" w:rsidR="00A05DD6" w:rsidRPr="00EE48FD" w:rsidRDefault="00A05DD6" w:rsidP="003307C8">
            <w:pPr>
              <w:spacing w:after="0" w:line="240" w:lineRule="auto"/>
              <w:jc w:val="center"/>
              <w:rPr>
                <w:rFonts w:ascii="Times New Roman" w:eastAsia="Times New Roman" w:hAnsi="Times New Roman" w:cs="Times New Roman"/>
                <w:b/>
                <w:bCs/>
                <w:sz w:val="16"/>
                <w:szCs w:val="16"/>
                <w:lang w:eastAsia="en-GB"/>
              </w:rPr>
            </w:pPr>
            <w:proofErr w:type="spellStart"/>
            <w:r w:rsidRPr="00EE48FD">
              <w:rPr>
                <w:rFonts w:ascii="Times New Roman" w:eastAsia="Times New Roman" w:hAnsi="Times New Roman" w:cs="Times New Roman"/>
                <w:b/>
                <w:bCs/>
                <w:sz w:val="16"/>
                <w:szCs w:val="16"/>
                <w:lang w:eastAsia="en-GB"/>
              </w:rPr>
              <w:t>iznos</w:t>
            </w:r>
            <w:proofErr w:type="spellEnd"/>
            <w:r w:rsidRPr="00EE48FD">
              <w:rPr>
                <w:rFonts w:ascii="Times New Roman" w:eastAsia="Times New Roman" w:hAnsi="Times New Roman" w:cs="Times New Roman"/>
                <w:b/>
                <w:bCs/>
                <w:sz w:val="16"/>
                <w:szCs w:val="16"/>
                <w:lang w:eastAsia="en-GB"/>
              </w:rPr>
              <w:t xml:space="preserve"> po m2 </w:t>
            </w:r>
            <w:proofErr w:type="spellStart"/>
            <w:r w:rsidRPr="00EE48FD">
              <w:rPr>
                <w:rFonts w:ascii="Times New Roman" w:eastAsia="Times New Roman" w:hAnsi="Times New Roman" w:cs="Times New Roman"/>
                <w:b/>
                <w:bCs/>
                <w:sz w:val="16"/>
                <w:szCs w:val="16"/>
                <w:lang w:eastAsia="en-GB"/>
              </w:rPr>
              <w:t>godišnje</w:t>
            </w:r>
            <w:proofErr w:type="spellEnd"/>
          </w:p>
        </w:tc>
        <w:tc>
          <w:tcPr>
            <w:tcW w:w="1134" w:type="dxa"/>
            <w:vAlign w:val="center"/>
            <w:hideMark/>
          </w:tcPr>
          <w:p w14:paraId="1E3AF140" w14:textId="185A9899" w:rsidR="00A05DD6" w:rsidRPr="00EE48FD" w:rsidRDefault="00A05DD6" w:rsidP="003307C8">
            <w:pPr>
              <w:spacing w:after="0" w:line="240" w:lineRule="auto"/>
              <w:jc w:val="center"/>
              <w:rPr>
                <w:rFonts w:ascii="Times New Roman" w:eastAsia="Times New Roman" w:hAnsi="Times New Roman" w:cs="Times New Roman"/>
                <w:b/>
                <w:bCs/>
                <w:sz w:val="16"/>
                <w:szCs w:val="16"/>
                <w:lang w:val="pl-PL" w:eastAsia="en-GB"/>
              </w:rPr>
            </w:pPr>
            <w:r w:rsidRPr="00EE48FD">
              <w:rPr>
                <w:rFonts w:ascii="Times New Roman" w:eastAsia="Times New Roman" w:hAnsi="Times New Roman" w:cs="Times New Roman"/>
                <w:b/>
                <w:bCs/>
                <w:sz w:val="16"/>
                <w:szCs w:val="16"/>
                <w:lang w:val="pl-PL" w:eastAsia="en-GB"/>
              </w:rPr>
              <w:t>RAZLIKA U ODNOSU NA SADAŠNJI IZNOS PO M2</w:t>
            </w:r>
          </w:p>
        </w:tc>
        <w:tc>
          <w:tcPr>
            <w:tcW w:w="1275" w:type="dxa"/>
            <w:vAlign w:val="center"/>
            <w:hideMark/>
          </w:tcPr>
          <w:p w14:paraId="2C14C476" w14:textId="3E43D70D" w:rsidR="00A05DD6" w:rsidRPr="00EE48FD" w:rsidRDefault="00A05DD6" w:rsidP="003307C8">
            <w:pPr>
              <w:spacing w:after="0" w:line="240" w:lineRule="auto"/>
              <w:jc w:val="center"/>
              <w:rPr>
                <w:rFonts w:ascii="Times New Roman" w:eastAsia="Times New Roman" w:hAnsi="Times New Roman" w:cs="Times New Roman"/>
                <w:b/>
                <w:bCs/>
                <w:sz w:val="16"/>
                <w:szCs w:val="16"/>
                <w:lang w:val="pl-PL" w:eastAsia="en-GB"/>
              </w:rPr>
            </w:pPr>
            <w:r w:rsidRPr="00EE48FD">
              <w:rPr>
                <w:rFonts w:ascii="Times New Roman" w:eastAsia="Times New Roman" w:hAnsi="Times New Roman" w:cs="Times New Roman"/>
                <w:b/>
                <w:bCs/>
                <w:sz w:val="16"/>
                <w:szCs w:val="16"/>
                <w:lang w:val="pl-PL" w:eastAsia="en-GB"/>
              </w:rPr>
              <w:t>RAZLIKA MJESEČNO ZA</w:t>
            </w:r>
            <w:r w:rsidRPr="00EE48FD">
              <w:rPr>
                <w:lang w:val="pl-PL"/>
              </w:rPr>
              <w:t xml:space="preserve"> </w:t>
            </w:r>
            <w:r w:rsidRPr="00EE48FD">
              <w:rPr>
                <w:rFonts w:ascii="Times New Roman" w:eastAsia="Times New Roman" w:hAnsi="Times New Roman" w:cs="Times New Roman"/>
                <w:b/>
                <w:bCs/>
                <w:sz w:val="16"/>
                <w:szCs w:val="16"/>
                <w:lang w:val="pl-PL" w:eastAsia="en-GB"/>
              </w:rPr>
              <w:t>STAMBENI PROSTOR OD 100 M2</w:t>
            </w:r>
          </w:p>
        </w:tc>
      </w:tr>
      <w:tr w:rsidR="00AE6314" w:rsidRPr="00EE48FD" w14:paraId="311AED2B" w14:textId="77777777" w:rsidTr="00A05DD6">
        <w:trPr>
          <w:trHeight w:val="391"/>
          <w:jc w:val="center"/>
        </w:trPr>
        <w:tc>
          <w:tcPr>
            <w:tcW w:w="1413" w:type="dxa"/>
            <w:vAlign w:val="center"/>
            <w:hideMark/>
          </w:tcPr>
          <w:p w14:paraId="2A1261B2" w14:textId="77777777" w:rsidR="00A05DD6" w:rsidRPr="00EE48FD" w:rsidRDefault="00A05DD6" w:rsidP="003307C8">
            <w:pPr>
              <w:spacing w:after="0" w:line="240" w:lineRule="auto"/>
              <w:jc w:val="center"/>
              <w:rPr>
                <w:rFonts w:ascii="Times New Roman" w:eastAsia="Times New Roman" w:hAnsi="Times New Roman" w:cs="Times New Roman"/>
                <w:sz w:val="18"/>
                <w:szCs w:val="18"/>
                <w:lang w:eastAsia="en-GB"/>
              </w:rPr>
            </w:pPr>
            <w:r w:rsidRPr="00EE48FD">
              <w:rPr>
                <w:rFonts w:ascii="Times New Roman" w:eastAsia="Times New Roman" w:hAnsi="Times New Roman" w:cs="Times New Roman"/>
                <w:sz w:val="18"/>
                <w:szCs w:val="18"/>
                <w:lang w:eastAsia="en-GB"/>
              </w:rPr>
              <w:t>POBRI, OPRIĆ</w:t>
            </w:r>
          </w:p>
        </w:tc>
        <w:tc>
          <w:tcPr>
            <w:tcW w:w="850" w:type="dxa"/>
            <w:noWrap/>
            <w:vAlign w:val="center"/>
            <w:hideMark/>
          </w:tcPr>
          <w:p w14:paraId="1E3AB199" w14:textId="77777777" w:rsidR="00A05DD6" w:rsidRPr="00EE48FD" w:rsidRDefault="00A05DD6" w:rsidP="003307C8">
            <w:pPr>
              <w:spacing w:after="0" w:line="240" w:lineRule="auto"/>
              <w:jc w:val="center"/>
              <w:rPr>
                <w:rFonts w:ascii="Times New Roman" w:eastAsia="Times New Roman" w:hAnsi="Times New Roman" w:cs="Times New Roman"/>
                <w:sz w:val="18"/>
                <w:szCs w:val="18"/>
                <w:lang w:eastAsia="en-GB"/>
              </w:rPr>
            </w:pPr>
            <w:r w:rsidRPr="00EE48FD">
              <w:rPr>
                <w:rFonts w:ascii="Times New Roman" w:eastAsia="Times New Roman" w:hAnsi="Times New Roman" w:cs="Times New Roman"/>
                <w:sz w:val="18"/>
                <w:szCs w:val="18"/>
                <w:lang w:eastAsia="en-GB"/>
              </w:rPr>
              <w:t>0,3</w:t>
            </w:r>
          </w:p>
        </w:tc>
        <w:tc>
          <w:tcPr>
            <w:tcW w:w="855" w:type="dxa"/>
            <w:noWrap/>
            <w:vAlign w:val="center"/>
            <w:hideMark/>
          </w:tcPr>
          <w:p w14:paraId="4CBBFC72" w14:textId="77777777" w:rsidR="00A05DD6" w:rsidRPr="00EE48FD" w:rsidRDefault="00A05DD6" w:rsidP="003307C8">
            <w:pPr>
              <w:spacing w:after="0" w:line="240" w:lineRule="auto"/>
              <w:jc w:val="center"/>
              <w:rPr>
                <w:rFonts w:ascii="Times New Roman" w:eastAsia="Times New Roman" w:hAnsi="Times New Roman" w:cs="Times New Roman"/>
                <w:sz w:val="18"/>
                <w:szCs w:val="18"/>
                <w:lang w:eastAsia="en-GB"/>
              </w:rPr>
            </w:pPr>
            <w:r w:rsidRPr="00EE48FD">
              <w:rPr>
                <w:rFonts w:ascii="Times New Roman" w:eastAsia="Times New Roman" w:hAnsi="Times New Roman" w:cs="Times New Roman"/>
                <w:sz w:val="18"/>
                <w:szCs w:val="18"/>
                <w:lang w:eastAsia="en-GB"/>
              </w:rPr>
              <w:t>1,38 €</w:t>
            </w:r>
          </w:p>
        </w:tc>
        <w:tc>
          <w:tcPr>
            <w:tcW w:w="854" w:type="dxa"/>
            <w:noWrap/>
            <w:vAlign w:val="center"/>
            <w:hideMark/>
          </w:tcPr>
          <w:p w14:paraId="62D06E4A" w14:textId="77777777" w:rsidR="00A05DD6" w:rsidRPr="00EE48FD" w:rsidRDefault="00A05DD6" w:rsidP="003307C8">
            <w:pPr>
              <w:spacing w:after="0" w:line="240" w:lineRule="auto"/>
              <w:jc w:val="center"/>
              <w:rPr>
                <w:rFonts w:ascii="Times New Roman" w:eastAsia="Times New Roman" w:hAnsi="Times New Roman" w:cs="Times New Roman"/>
                <w:b/>
                <w:bCs/>
                <w:sz w:val="18"/>
                <w:szCs w:val="18"/>
                <w:lang w:eastAsia="en-GB"/>
              </w:rPr>
            </w:pPr>
            <w:r w:rsidRPr="00EE48FD">
              <w:rPr>
                <w:rFonts w:ascii="Times New Roman" w:eastAsia="Times New Roman" w:hAnsi="Times New Roman" w:cs="Times New Roman"/>
                <w:b/>
                <w:bCs/>
                <w:sz w:val="18"/>
                <w:szCs w:val="18"/>
                <w:lang w:eastAsia="en-GB"/>
              </w:rPr>
              <w:t>0,41 €</w:t>
            </w:r>
          </w:p>
        </w:tc>
        <w:tc>
          <w:tcPr>
            <w:tcW w:w="709" w:type="dxa"/>
            <w:noWrap/>
            <w:vAlign w:val="center"/>
            <w:hideMark/>
          </w:tcPr>
          <w:p w14:paraId="0B6DC0D4" w14:textId="77777777" w:rsidR="00A05DD6" w:rsidRPr="00EE48FD" w:rsidRDefault="00A05DD6" w:rsidP="003307C8">
            <w:pPr>
              <w:spacing w:after="0" w:line="240" w:lineRule="auto"/>
              <w:jc w:val="center"/>
              <w:rPr>
                <w:rFonts w:ascii="Times New Roman" w:eastAsia="Times New Roman" w:hAnsi="Times New Roman" w:cs="Times New Roman"/>
                <w:b/>
                <w:bCs/>
                <w:sz w:val="18"/>
                <w:szCs w:val="18"/>
                <w:lang w:eastAsia="en-GB"/>
              </w:rPr>
            </w:pPr>
            <w:r w:rsidRPr="00EE48FD">
              <w:rPr>
                <w:rFonts w:ascii="Times New Roman" w:eastAsia="Times New Roman" w:hAnsi="Times New Roman" w:cs="Times New Roman"/>
                <w:b/>
                <w:bCs/>
                <w:sz w:val="18"/>
                <w:szCs w:val="18"/>
                <w:lang w:eastAsia="en-GB"/>
              </w:rPr>
              <w:t>0,5</w:t>
            </w:r>
          </w:p>
        </w:tc>
        <w:tc>
          <w:tcPr>
            <w:tcW w:w="984" w:type="dxa"/>
            <w:noWrap/>
            <w:vAlign w:val="center"/>
            <w:hideMark/>
          </w:tcPr>
          <w:p w14:paraId="0C8B38CB" w14:textId="77777777" w:rsidR="00A05DD6" w:rsidRPr="00EE48FD" w:rsidRDefault="00A05DD6" w:rsidP="003307C8">
            <w:pPr>
              <w:spacing w:after="0" w:line="240" w:lineRule="auto"/>
              <w:jc w:val="center"/>
              <w:rPr>
                <w:rFonts w:ascii="Times New Roman" w:eastAsia="Times New Roman" w:hAnsi="Times New Roman" w:cs="Times New Roman"/>
                <w:sz w:val="18"/>
                <w:szCs w:val="18"/>
                <w:lang w:eastAsia="en-GB"/>
              </w:rPr>
            </w:pPr>
            <w:r w:rsidRPr="00EE48FD">
              <w:rPr>
                <w:rFonts w:ascii="Times New Roman" w:eastAsia="Times New Roman" w:hAnsi="Times New Roman" w:cs="Times New Roman"/>
                <w:sz w:val="18"/>
                <w:szCs w:val="18"/>
                <w:lang w:eastAsia="en-GB"/>
              </w:rPr>
              <w:t>2,00 €</w:t>
            </w:r>
          </w:p>
        </w:tc>
        <w:tc>
          <w:tcPr>
            <w:tcW w:w="993" w:type="dxa"/>
            <w:noWrap/>
            <w:vAlign w:val="center"/>
            <w:hideMark/>
          </w:tcPr>
          <w:p w14:paraId="540E8AED" w14:textId="77777777" w:rsidR="00A05DD6" w:rsidRPr="00EE48FD" w:rsidRDefault="00A05DD6" w:rsidP="003307C8">
            <w:pPr>
              <w:spacing w:after="0" w:line="240" w:lineRule="auto"/>
              <w:jc w:val="center"/>
              <w:rPr>
                <w:rFonts w:ascii="Times New Roman" w:eastAsia="Times New Roman" w:hAnsi="Times New Roman" w:cs="Times New Roman"/>
                <w:b/>
                <w:bCs/>
                <w:sz w:val="18"/>
                <w:szCs w:val="18"/>
                <w:lang w:eastAsia="en-GB"/>
              </w:rPr>
            </w:pPr>
            <w:r w:rsidRPr="00EE48FD">
              <w:rPr>
                <w:rFonts w:ascii="Times New Roman" w:eastAsia="Times New Roman" w:hAnsi="Times New Roman" w:cs="Times New Roman"/>
                <w:b/>
                <w:bCs/>
                <w:sz w:val="18"/>
                <w:szCs w:val="18"/>
                <w:lang w:eastAsia="en-GB"/>
              </w:rPr>
              <w:t>1,00 €</w:t>
            </w:r>
          </w:p>
        </w:tc>
        <w:tc>
          <w:tcPr>
            <w:tcW w:w="1134" w:type="dxa"/>
            <w:noWrap/>
            <w:vAlign w:val="center"/>
            <w:hideMark/>
          </w:tcPr>
          <w:p w14:paraId="4CF4955E" w14:textId="77777777" w:rsidR="00A05DD6" w:rsidRPr="00EE48FD" w:rsidRDefault="00A05DD6" w:rsidP="003307C8">
            <w:pPr>
              <w:spacing w:after="0" w:line="240" w:lineRule="auto"/>
              <w:jc w:val="center"/>
              <w:rPr>
                <w:rFonts w:ascii="Times New Roman" w:eastAsia="Times New Roman" w:hAnsi="Times New Roman" w:cs="Times New Roman"/>
                <w:b/>
                <w:bCs/>
                <w:sz w:val="18"/>
                <w:szCs w:val="18"/>
                <w:lang w:eastAsia="en-GB"/>
              </w:rPr>
            </w:pPr>
            <w:r w:rsidRPr="00EE48FD">
              <w:rPr>
                <w:rFonts w:ascii="Times New Roman" w:eastAsia="Times New Roman" w:hAnsi="Times New Roman" w:cs="Times New Roman"/>
                <w:b/>
                <w:bCs/>
                <w:sz w:val="18"/>
                <w:szCs w:val="18"/>
                <w:lang w:eastAsia="en-GB"/>
              </w:rPr>
              <w:t>0,59 €</w:t>
            </w:r>
          </w:p>
        </w:tc>
        <w:tc>
          <w:tcPr>
            <w:tcW w:w="1275" w:type="dxa"/>
            <w:noWrap/>
            <w:vAlign w:val="center"/>
            <w:hideMark/>
          </w:tcPr>
          <w:p w14:paraId="3CF8D548" w14:textId="77777777" w:rsidR="00A05DD6" w:rsidRPr="00EE48FD" w:rsidRDefault="00A05DD6" w:rsidP="003307C8">
            <w:pPr>
              <w:spacing w:after="0" w:line="240" w:lineRule="auto"/>
              <w:jc w:val="center"/>
              <w:rPr>
                <w:rFonts w:ascii="Times New Roman" w:eastAsia="Times New Roman" w:hAnsi="Times New Roman" w:cs="Times New Roman"/>
                <w:b/>
                <w:bCs/>
                <w:sz w:val="18"/>
                <w:szCs w:val="18"/>
                <w:lang w:eastAsia="en-GB"/>
              </w:rPr>
            </w:pPr>
            <w:r w:rsidRPr="00EE48FD">
              <w:rPr>
                <w:rFonts w:ascii="Times New Roman" w:eastAsia="Times New Roman" w:hAnsi="Times New Roman" w:cs="Times New Roman"/>
                <w:b/>
                <w:bCs/>
                <w:sz w:val="18"/>
                <w:szCs w:val="18"/>
                <w:lang w:eastAsia="en-GB"/>
              </w:rPr>
              <w:t>4,88 €</w:t>
            </w:r>
          </w:p>
        </w:tc>
      </w:tr>
      <w:tr w:rsidR="00AE6314" w:rsidRPr="00EE48FD" w14:paraId="4E7063ED" w14:textId="77777777" w:rsidTr="00A05DD6">
        <w:trPr>
          <w:trHeight w:val="683"/>
          <w:jc w:val="center"/>
        </w:trPr>
        <w:tc>
          <w:tcPr>
            <w:tcW w:w="1413" w:type="dxa"/>
            <w:vAlign w:val="center"/>
            <w:hideMark/>
          </w:tcPr>
          <w:p w14:paraId="7109656E" w14:textId="5D565D00" w:rsidR="00A05DD6" w:rsidRPr="00EE48FD" w:rsidRDefault="00A05DD6" w:rsidP="003307C8">
            <w:pPr>
              <w:spacing w:after="0" w:line="240" w:lineRule="auto"/>
              <w:jc w:val="center"/>
              <w:rPr>
                <w:rFonts w:ascii="Times New Roman" w:eastAsia="Times New Roman" w:hAnsi="Times New Roman" w:cs="Times New Roman"/>
                <w:sz w:val="18"/>
                <w:szCs w:val="18"/>
                <w:lang w:eastAsia="en-GB"/>
              </w:rPr>
            </w:pPr>
            <w:r w:rsidRPr="00EE48FD">
              <w:rPr>
                <w:rFonts w:ascii="Times New Roman" w:eastAsia="Times New Roman" w:hAnsi="Times New Roman" w:cs="Times New Roman"/>
                <w:sz w:val="18"/>
                <w:szCs w:val="18"/>
                <w:lang w:eastAsia="en-GB"/>
              </w:rPr>
              <w:t>POLJANE, VEPRINAC, DOBREĆ</w:t>
            </w:r>
          </w:p>
        </w:tc>
        <w:tc>
          <w:tcPr>
            <w:tcW w:w="850" w:type="dxa"/>
            <w:noWrap/>
            <w:vAlign w:val="center"/>
            <w:hideMark/>
          </w:tcPr>
          <w:p w14:paraId="108532DC" w14:textId="77777777" w:rsidR="00A05DD6" w:rsidRPr="00EE48FD" w:rsidRDefault="00A05DD6" w:rsidP="003307C8">
            <w:pPr>
              <w:spacing w:after="0" w:line="240" w:lineRule="auto"/>
              <w:jc w:val="center"/>
              <w:rPr>
                <w:rFonts w:ascii="Times New Roman" w:eastAsia="Times New Roman" w:hAnsi="Times New Roman" w:cs="Times New Roman"/>
                <w:sz w:val="18"/>
                <w:szCs w:val="18"/>
                <w:lang w:eastAsia="en-GB"/>
              </w:rPr>
            </w:pPr>
            <w:r w:rsidRPr="00EE48FD">
              <w:rPr>
                <w:rFonts w:ascii="Times New Roman" w:eastAsia="Times New Roman" w:hAnsi="Times New Roman" w:cs="Times New Roman"/>
                <w:sz w:val="18"/>
                <w:szCs w:val="18"/>
                <w:lang w:eastAsia="en-GB"/>
              </w:rPr>
              <w:t>0,3</w:t>
            </w:r>
          </w:p>
        </w:tc>
        <w:tc>
          <w:tcPr>
            <w:tcW w:w="855" w:type="dxa"/>
            <w:noWrap/>
            <w:vAlign w:val="center"/>
            <w:hideMark/>
          </w:tcPr>
          <w:p w14:paraId="60FCEC2D" w14:textId="77777777" w:rsidR="00A05DD6" w:rsidRPr="00EE48FD" w:rsidRDefault="00A05DD6" w:rsidP="003307C8">
            <w:pPr>
              <w:spacing w:after="0" w:line="240" w:lineRule="auto"/>
              <w:jc w:val="center"/>
              <w:rPr>
                <w:rFonts w:ascii="Times New Roman" w:eastAsia="Times New Roman" w:hAnsi="Times New Roman" w:cs="Times New Roman"/>
                <w:sz w:val="18"/>
                <w:szCs w:val="18"/>
                <w:lang w:eastAsia="en-GB"/>
              </w:rPr>
            </w:pPr>
            <w:r w:rsidRPr="00EE48FD">
              <w:rPr>
                <w:rFonts w:ascii="Times New Roman" w:eastAsia="Times New Roman" w:hAnsi="Times New Roman" w:cs="Times New Roman"/>
                <w:sz w:val="18"/>
                <w:szCs w:val="18"/>
                <w:lang w:eastAsia="en-GB"/>
              </w:rPr>
              <w:t>1,38 €</w:t>
            </w:r>
          </w:p>
        </w:tc>
        <w:tc>
          <w:tcPr>
            <w:tcW w:w="854" w:type="dxa"/>
            <w:noWrap/>
            <w:vAlign w:val="center"/>
            <w:hideMark/>
          </w:tcPr>
          <w:p w14:paraId="61FD5469" w14:textId="77777777" w:rsidR="00A05DD6" w:rsidRPr="00EE48FD" w:rsidRDefault="00A05DD6" w:rsidP="003307C8">
            <w:pPr>
              <w:spacing w:after="0" w:line="240" w:lineRule="auto"/>
              <w:jc w:val="center"/>
              <w:rPr>
                <w:rFonts w:ascii="Times New Roman" w:eastAsia="Times New Roman" w:hAnsi="Times New Roman" w:cs="Times New Roman"/>
                <w:b/>
                <w:bCs/>
                <w:sz w:val="18"/>
                <w:szCs w:val="18"/>
                <w:lang w:eastAsia="en-GB"/>
              </w:rPr>
            </w:pPr>
            <w:r w:rsidRPr="00EE48FD">
              <w:rPr>
                <w:rFonts w:ascii="Times New Roman" w:eastAsia="Times New Roman" w:hAnsi="Times New Roman" w:cs="Times New Roman"/>
                <w:b/>
                <w:bCs/>
                <w:sz w:val="18"/>
                <w:szCs w:val="18"/>
                <w:lang w:eastAsia="en-GB"/>
              </w:rPr>
              <w:t>0,41 €</w:t>
            </w:r>
          </w:p>
        </w:tc>
        <w:tc>
          <w:tcPr>
            <w:tcW w:w="709" w:type="dxa"/>
            <w:noWrap/>
            <w:vAlign w:val="center"/>
            <w:hideMark/>
          </w:tcPr>
          <w:p w14:paraId="5786543B" w14:textId="77777777" w:rsidR="00A05DD6" w:rsidRPr="00EE48FD" w:rsidRDefault="00A05DD6" w:rsidP="003307C8">
            <w:pPr>
              <w:spacing w:after="0" w:line="240" w:lineRule="auto"/>
              <w:jc w:val="center"/>
              <w:rPr>
                <w:rFonts w:ascii="Times New Roman" w:eastAsia="Times New Roman" w:hAnsi="Times New Roman" w:cs="Times New Roman"/>
                <w:b/>
                <w:bCs/>
                <w:sz w:val="18"/>
                <w:szCs w:val="18"/>
                <w:lang w:eastAsia="en-GB"/>
              </w:rPr>
            </w:pPr>
            <w:r w:rsidRPr="00EE48FD">
              <w:rPr>
                <w:rFonts w:ascii="Times New Roman" w:eastAsia="Times New Roman" w:hAnsi="Times New Roman" w:cs="Times New Roman"/>
                <w:b/>
                <w:bCs/>
                <w:sz w:val="18"/>
                <w:szCs w:val="18"/>
                <w:lang w:eastAsia="en-GB"/>
              </w:rPr>
              <w:t>0,4</w:t>
            </w:r>
          </w:p>
        </w:tc>
        <w:tc>
          <w:tcPr>
            <w:tcW w:w="984" w:type="dxa"/>
            <w:noWrap/>
            <w:vAlign w:val="center"/>
            <w:hideMark/>
          </w:tcPr>
          <w:p w14:paraId="575A5125" w14:textId="77777777" w:rsidR="00A05DD6" w:rsidRPr="00EE48FD" w:rsidRDefault="00A05DD6" w:rsidP="003307C8">
            <w:pPr>
              <w:spacing w:after="0" w:line="240" w:lineRule="auto"/>
              <w:jc w:val="center"/>
              <w:rPr>
                <w:rFonts w:ascii="Times New Roman" w:eastAsia="Times New Roman" w:hAnsi="Times New Roman" w:cs="Times New Roman"/>
                <w:sz w:val="18"/>
                <w:szCs w:val="18"/>
                <w:lang w:eastAsia="en-GB"/>
              </w:rPr>
            </w:pPr>
            <w:r w:rsidRPr="00EE48FD">
              <w:rPr>
                <w:rFonts w:ascii="Times New Roman" w:eastAsia="Times New Roman" w:hAnsi="Times New Roman" w:cs="Times New Roman"/>
                <w:sz w:val="18"/>
                <w:szCs w:val="18"/>
                <w:lang w:eastAsia="en-GB"/>
              </w:rPr>
              <w:t>2,00 €</w:t>
            </w:r>
          </w:p>
        </w:tc>
        <w:tc>
          <w:tcPr>
            <w:tcW w:w="993" w:type="dxa"/>
            <w:noWrap/>
            <w:vAlign w:val="center"/>
            <w:hideMark/>
          </w:tcPr>
          <w:p w14:paraId="3EE7DFFE" w14:textId="77777777" w:rsidR="00A05DD6" w:rsidRPr="00EE48FD" w:rsidRDefault="00A05DD6" w:rsidP="003307C8">
            <w:pPr>
              <w:spacing w:after="0" w:line="240" w:lineRule="auto"/>
              <w:jc w:val="center"/>
              <w:rPr>
                <w:rFonts w:ascii="Times New Roman" w:eastAsia="Times New Roman" w:hAnsi="Times New Roman" w:cs="Times New Roman"/>
                <w:b/>
                <w:bCs/>
                <w:sz w:val="18"/>
                <w:szCs w:val="18"/>
                <w:lang w:eastAsia="en-GB"/>
              </w:rPr>
            </w:pPr>
            <w:r w:rsidRPr="00EE48FD">
              <w:rPr>
                <w:rFonts w:ascii="Times New Roman" w:eastAsia="Times New Roman" w:hAnsi="Times New Roman" w:cs="Times New Roman"/>
                <w:b/>
                <w:bCs/>
                <w:sz w:val="18"/>
                <w:szCs w:val="18"/>
                <w:lang w:eastAsia="en-GB"/>
              </w:rPr>
              <w:t>0,80 €</w:t>
            </w:r>
          </w:p>
        </w:tc>
        <w:tc>
          <w:tcPr>
            <w:tcW w:w="1134" w:type="dxa"/>
            <w:noWrap/>
            <w:vAlign w:val="center"/>
            <w:hideMark/>
          </w:tcPr>
          <w:p w14:paraId="6088EE29" w14:textId="77777777" w:rsidR="00A05DD6" w:rsidRPr="00EE48FD" w:rsidRDefault="00A05DD6" w:rsidP="003307C8">
            <w:pPr>
              <w:spacing w:after="0" w:line="240" w:lineRule="auto"/>
              <w:jc w:val="center"/>
              <w:rPr>
                <w:rFonts w:ascii="Times New Roman" w:eastAsia="Times New Roman" w:hAnsi="Times New Roman" w:cs="Times New Roman"/>
                <w:b/>
                <w:bCs/>
                <w:sz w:val="18"/>
                <w:szCs w:val="18"/>
                <w:lang w:eastAsia="en-GB"/>
              </w:rPr>
            </w:pPr>
            <w:r w:rsidRPr="00EE48FD">
              <w:rPr>
                <w:rFonts w:ascii="Times New Roman" w:eastAsia="Times New Roman" w:hAnsi="Times New Roman" w:cs="Times New Roman"/>
                <w:b/>
                <w:bCs/>
                <w:sz w:val="18"/>
                <w:szCs w:val="18"/>
                <w:lang w:eastAsia="en-GB"/>
              </w:rPr>
              <w:t>0,39 €</w:t>
            </w:r>
          </w:p>
        </w:tc>
        <w:tc>
          <w:tcPr>
            <w:tcW w:w="1275" w:type="dxa"/>
            <w:noWrap/>
            <w:vAlign w:val="center"/>
            <w:hideMark/>
          </w:tcPr>
          <w:p w14:paraId="2B2BE802" w14:textId="77777777" w:rsidR="00A05DD6" w:rsidRPr="00EE48FD" w:rsidRDefault="00A05DD6" w:rsidP="003307C8">
            <w:pPr>
              <w:spacing w:after="0" w:line="240" w:lineRule="auto"/>
              <w:jc w:val="center"/>
              <w:rPr>
                <w:rFonts w:ascii="Times New Roman" w:eastAsia="Times New Roman" w:hAnsi="Times New Roman" w:cs="Times New Roman"/>
                <w:b/>
                <w:bCs/>
                <w:sz w:val="18"/>
                <w:szCs w:val="18"/>
                <w:lang w:eastAsia="en-GB"/>
              </w:rPr>
            </w:pPr>
            <w:r w:rsidRPr="00EE48FD">
              <w:rPr>
                <w:rFonts w:ascii="Times New Roman" w:eastAsia="Times New Roman" w:hAnsi="Times New Roman" w:cs="Times New Roman"/>
                <w:b/>
                <w:bCs/>
                <w:sz w:val="18"/>
                <w:szCs w:val="18"/>
                <w:lang w:eastAsia="en-GB"/>
              </w:rPr>
              <w:t>3,22 €</w:t>
            </w:r>
          </w:p>
        </w:tc>
      </w:tr>
      <w:tr w:rsidR="00AE6314" w:rsidRPr="00EE48FD" w14:paraId="57F6C81A" w14:textId="77777777" w:rsidTr="00A05DD6">
        <w:trPr>
          <w:trHeight w:val="434"/>
          <w:jc w:val="center"/>
        </w:trPr>
        <w:tc>
          <w:tcPr>
            <w:tcW w:w="1413" w:type="dxa"/>
            <w:vAlign w:val="center"/>
            <w:hideMark/>
          </w:tcPr>
          <w:p w14:paraId="48B654B6" w14:textId="77777777" w:rsidR="00A05DD6" w:rsidRPr="00EE48FD" w:rsidRDefault="00A05DD6" w:rsidP="003307C8">
            <w:pPr>
              <w:spacing w:after="0" w:line="240" w:lineRule="auto"/>
              <w:jc w:val="center"/>
              <w:rPr>
                <w:rFonts w:ascii="Times New Roman" w:eastAsia="Times New Roman" w:hAnsi="Times New Roman" w:cs="Times New Roman"/>
                <w:sz w:val="18"/>
                <w:szCs w:val="18"/>
                <w:lang w:eastAsia="en-GB"/>
              </w:rPr>
            </w:pPr>
            <w:r w:rsidRPr="00EE48FD">
              <w:rPr>
                <w:rFonts w:ascii="Times New Roman" w:eastAsia="Times New Roman" w:hAnsi="Times New Roman" w:cs="Times New Roman"/>
                <w:sz w:val="18"/>
                <w:szCs w:val="18"/>
                <w:lang w:eastAsia="en-GB"/>
              </w:rPr>
              <w:t>IČIČI/IKA II</w:t>
            </w:r>
          </w:p>
        </w:tc>
        <w:tc>
          <w:tcPr>
            <w:tcW w:w="850" w:type="dxa"/>
            <w:noWrap/>
            <w:vAlign w:val="center"/>
            <w:hideMark/>
          </w:tcPr>
          <w:p w14:paraId="15DCAD40" w14:textId="77777777" w:rsidR="00A05DD6" w:rsidRPr="00EE48FD" w:rsidRDefault="00A05DD6" w:rsidP="003307C8">
            <w:pPr>
              <w:spacing w:after="0" w:line="240" w:lineRule="auto"/>
              <w:jc w:val="center"/>
              <w:rPr>
                <w:rFonts w:ascii="Times New Roman" w:eastAsia="Times New Roman" w:hAnsi="Times New Roman" w:cs="Times New Roman"/>
                <w:sz w:val="18"/>
                <w:szCs w:val="18"/>
                <w:lang w:eastAsia="en-GB"/>
              </w:rPr>
            </w:pPr>
            <w:r w:rsidRPr="00EE48FD">
              <w:rPr>
                <w:rFonts w:ascii="Times New Roman" w:eastAsia="Times New Roman" w:hAnsi="Times New Roman" w:cs="Times New Roman"/>
                <w:sz w:val="18"/>
                <w:szCs w:val="18"/>
                <w:lang w:eastAsia="en-GB"/>
              </w:rPr>
              <w:t>0,5</w:t>
            </w:r>
          </w:p>
        </w:tc>
        <w:tc>
          <w:tcPr>
            <w:tcW w:w="855" w:type="dxa"/>
            <w:noWrap/>
            <w:vAlign w:val="center"/>
            <w:hideMark/>
          </w:tcPr>
          <w:p w14:paraId="4DEF2FA4" w14:textId="77777777" w:rsidR="00A05DD6" w:rsidRPr="00EE48FD" w:rsidRDefault="00A05DD6" w:rsidP="003307C8">
            <w:pPr>
              <w:spacing w:after="0" w:line="240" w:lineRule="auto"/>
              <w:jc w:val="center"/>
              <w:rPr>
                <w:rFonts w:ascii="Times New Roman" w:eastAsia="Times New Roman" w:hAnsi="Times New Roman" w:cs="Times New Roman"/>
                <w:sz w:val="18"/>
                <w:szCs w:val="18"/>
                <w:lang w:eastAsia="en-GB"/>
              </w:rPr>
            </w:pPr>
            <w:r w:rsidRPr="00EE48FD">
              <w:rPr>
                <w:rFonts w:ascii="Times New Roman" w:eastAsia="Times New Roman" w:hAnsi="Times New Roman" w:cs="Times New Roman"/>
                <w:sz w:val="18"/>
                <w:szCs w:val="18"/>
                <w:lang w:eastAsia="en-GB"/>
              </w:rPr>
              <w:t>1,38 €</w:t>
            </w:r>
          </w:p>
        </w:tc>
        <w:tc>
          <w:tcPr>
            <w:tcW w:w="854" w:type="dxa"/>
            <w:noWrap/>
            <w:vAlign w:val="center"/>
            <w:hideMark/>
          </w:tcPr>
          <w:p w14:paraId="6C0373AD" w14:textId="77777777" w:rsidR="00A05DD6" w:rsidRPr="00EE48FD" w:rsidRDefault="00A05DD6" w:rsidP="003307C8">
            <w:pPr>
              <w:spacing w:after="0" w:line="240" w:lineRule="auto"/>
              <w:jc w:val="center"/>
              <w:rPr>
                <w:rFonts w:ascii="Times New Roman" w:eastAsia="Times New Roman" w:hAnsi="Times New Roman" w:cs="Times New Roman"/>
                <w:b/>
                <w:bCs/>
                <w:sz w:val="18"/>
                <w:szCs w:val="18"/>
                <w:lang w:eastAsia="en-GB"/>
              </w:rPr>
            </w:pPr>
            <w:r w:rsidRPr="00EE48FD">
              <w:rPr>
                <w:rFonts w:ascii="Times New Roman" w:eastAsia="Times New Roman" w:hAnsi="Times New Roman" w:cs="Times New Roman"/>
                <w:b/>
                <w:bCs/>
                <w:sz w:val="18"/>
                <w:szCs w:val="18"/>
                <w:lang w:eastAsia="en-GB"/>
              </w:rPr>
              <w:t>0,69 €</w:t>
            </w:r>
          </w:p>
        </w:tc>
        <w:tc>
          <w:tcPr>
            <w:tcW w:w="709" w:type="dxa"/>
            <w:noWrap/>
            <w:vAlign w:val="center"/>
            <w:hideMark/>
          </w:tcPr>
          <w:p w14:paraId="66760E79" w14:textId="77777777" w:rsidR="00A05DD6" w:rsidRPr="00EE48FD" w:rsidRDefault="00A05DD6" w:rsidP="003307C8">
            <w:pPr>
              <w:spacing w:after="0" w:line="240" w:lineRule="auto"/>
              <w:jc w:val="center"/>
              <w:rPr>
                <w:rFonts w:ascii="Times New Roman" w:eastAsia="Times New Roman" w:hAnsi="Times New Roman" w:cs="Times New Roman"/>
                <w:b/>
                <w:bCs/>
                <w:sz w:val="18"/>
                <w:szCs w:val="18"/>
                <w:lang w:eastAsia="en-GB"/>
              </w:rPr>
            </w:pPr>
            <w:r w:rsidRPr="00EE48FD">
              <w:rPr>
                <w:rFonts w:ascii="Times New Roman" w:eastAsia="Times New Roman" w:hAnsi="Times New Roman" w:cs="Times New Roman"/>
                <w:b/>
                <w:bCs/>
                <w:sz w:val="18"/>
                <w:szCs w:val="18"/>
                <w:lang w:eastAsia="en-GB"/>
              </w:rPr>
              <w:t>0,6</w:t>
            </w:r>
          </w:p>
        </w:tc>
        <w:tc>
          <w:tcPr>
            <w:tcW w:w="984" w:type="dxa"/>
            <w:noWrap/>
            <w:vAlign w:val="center"/>
            <w:hideMark/>
          </w:tcPr>
          <w:p w14:paraId="5A161338" w14:textId="77777777" w:rsidR="00A05DD6" w:rsidRPr="00EE48FD" w:rsidRDefault="00A05DD6" w:rsidP="003307C8">
            <w:pPr>
              <w:spacing w:after="0" w:line="240" w:lineRule="auto"/>
              <w:jc w:val="center"/>
              <w:rPr>
                <w:rFonts w:ascii="Times New Roman" w:eastAsia="Times New Roman" w:hAnsi="Times New Roman" w:cs="Times New Roman"/>
                <w:sz w:val="18"/>
                <w:szCs w:val="18"/>
                <w:lang w:eastAsia="en-GB"/>
              </w:rPr>
            </w:pPr>
            <w:r w:rsidRPr="00EE48FD">
              <w:rPr>
                <w:rFonts w:ascii="Times New Roman" w:eastAsia="Times New Roman" w:hAnsi="Times New Roman" w:cs="Times New Roman"/>
                <w:sz w:val="18"/>
                <w:szCs w:val="18"/>
                <w:lang w:eastAsia="en-GB"/>
              </w:rPr>
              <w:t>2,00 €</w:t>
            </w:r>
          </w:p>
        </w:tc>
        <w:tc>
          <w:tcPr>
            <w:tcW w:w="993" w:type="dxa"/>
            <w:noWrap/>
            <w:vAlign w:val="center"/>
            <w:hideMark/>
          </w:tcPr>
          <w:p w14:paraId="1BEC2E54" w14:textId="77777777" w:rsidR="00A05DD6" w:rsidRPr="00EE48FD" w:rsidRDefault="00A05DD6" w:rsidP="003307C8">
            <w:pPr>
              <w:spacing w:after="0" w:line="240" w:lineRule="auto"/>
              <w:jc w:val="center"/>
              <w:rPr>
                <w:rFonts w:ascii="Times New Roman" w:eastAsia="Times New Roman" w:hAnsi="Times New Roman" w:cs="Times New Roman"/>
                <w:b/>
                <w:bCs/>
                <w:sz w:val="18"/>
                <w:szCs w:val="18"/>
                <w:lang w:eastAsia="en-GB"/>
              </w:rPr>
            </w:pPr>
            <w:r w:rsidRPr="00EE48FD">
              <w:rPr>
                <w:rFonts w:ascii="Times New Roman" w:eastAsia="Times New Roman" w:hAnsi="Times New Roman" w:cs="Times New Roman"/>
                <w:b/>
                <w:bCs/>
                <w:sz w:val="18"/>
                <w:szCs w:val="18"/>
                <w:lang w:eastAsia="en-GB"/>
              </w:rPr>
              <w:t>1,20 €</w:t>
            </w:r>
          </w:p>
        </w:tc>
        <w:tc>
          <w:tcPr>
            <w:tcW w:w="1134" w:type="dxa"/>
            <w:noWrap/>
            <w:vAlign w:val="center"/>
            <w:hideMark/>
          </w:tcPr>
          <w:p w14:paraId="4EB9FDF8" w14:textId="77777777" w:rsidR="00A05DD6" w:rsidRPr="00EE48FD" w:rsidRDefault="00A05DD6" w:rsidP="003307C8">
            <w:pPr>
              <w:spacing w:after="0" w:line="240" w:lineRule="auto"/>
              <w:jc w:val="center"/>
              <w:rPr>
                <w:rFonts w:ascii="Times New Roman" w:eastAsia="Times New Roman" w:hAnsi="Times New Roman" w:cs="Times New Roman"/>
                <w:b/>
                <w:bCs/>
                <w:sz w:val="18"/>
                <w:szCs w:val="18"/>
                <w:lang w:eastAsia="en-GB"/>
              </w:rPr>
            </w:pPr>
            <w:r w:rsidRPr="00EE48FD">
              <w:rPr>
                <w:rFonts w:ascii="Times New Roman" w:eastAsia="Times New Roman" w:hAnsi="Times New Roman" w:cs="Times New Roman"/>
                <w:b/>
                <w:bCs/>
                <w:sz w:val="18"/>
                <w:szCs w:val="18"/>
                <w:lang w:eastAsia="en-GB"/>
              </w:rPr>
              <w:t>0,51 €</w:t>
            </w:r>
          </w:p>
        </w:tc>
        <w:tc>
          <w:tcPr>
            <w:tcW w:w="1275" w:type="dxa"/>
            <w:noWrap/>
            <w:vAlign w:val="center"/>
            <w:hideMark/>
          </w:tcPr>
          <w:p w14:paraId="3D1B3616" w14:textId="77777777" w:rsidR="00A05DD6" w:rsidRPr="00EE48FD" w:rsidRDefault="00A05DD6" w:rsidP="003307C8">
            <w:pPr>
              <w:spacing w:after="0" w:line="240" w:lineRule="auto"/>
              <w:jc w:val="center"/>
              <w:rPr>
                <w:rFonts w:ascii="Times New Roman" w:eastAsia="Times New Roman" w:hAnsi="Times New Roman" w:cs="Times New Roman"/>
                <w:b/>
                <w:bCs/>
                <w:sz w:val="18"/>
                <w:szCs w:val="18"/>
                <w:lang w:eastAsia="en-GB"/>
              </w:rPr>
            </w:pPr>
            <w:r w:rsidRPr="00EE48FD">
              <w:rPr>
                <w:rFonts w:ascii="Times New Roman" w:eastAsia="Times New Roman" w:hAnsi="Times New Roman" w:cs="Times New Roman"/>
                <w:b/>
                <w:bCs/>
                <w:sz w:val="18"/>
                <w:szCs w:val="18"/>
                <w:lang w:eastAsia="en-GB"/>
              </w:rPr>
              <w:t>4,25 €</w:t>
            </w:r>
          </w:p>
        </w:tc>
      </w:tr>
      <w:tr w:rsidR="00AE6314" w:rsidRPr="00EE48FD" w14:paraId="73359E35" w14:textId="77777777" w:rsidTr="00A05DD6">
        <w:trPr>
          <w:trHeight w:val="546"/>
          <w:jc w:val="center"/>
        </w:trPr>
        <w:tc>
          <w:tcPr>
            <w:tcW w:w="1413" w:type="dxa"/>
            <w:vAlign w:val="center"/>
            <w:hideMark/>
          </w:tcPr>
          <w:p w14:paraId="31676CAE" w14:textId="77777777" w:rsidR="00A05DD6" w:rsidRPr="00EE48FD" w:rsidRDefault="00A05DD6" w:rsidP="003307C8">
            <w:pPr>
              <w:spacing w:after="0" w:line="240" w:lineRule="auto"/>
              <w:jc w:val="center"/>
              <w:rPr>
                <w:rFonts w:ascii="Times New Roman" w:eastAsia="Times New Roman" w:hAnsi="Times New Roman" w:cs="Times New Roman"/>
                <w:sz w:val="18"/>
                <w:szCs w:val="18"/>
                <w:lang w:eastAsia="en-GB"/>
              </w:rPr>
            </w:pPr>
            <w:r w:rsidRPr="00EE48FD">
              <w:rPr>
                <w:rFonts w:ascii="Times New Roman" w:eastAsia="Times New Roman" w:hAnsi="Times New Roman" w:cs="Times New Roman"/>
                <w:sz w:val="18"/>
                <w:szCs w:val="18"/>
                <w:lang w:eastAsia="en-GB"/>
              </w:rPr>
              <w:t>DIO NASELJA OPATIJA</w:t>
            </w:r>
          </w:p>
        </w:tc>
        <w:tc>
          <w:tcPr>
            <w:tcW w:w="850" w:type="dxa"/>
            <w:noWrap/>
            <w:vAlign w:val="center"/>
            <w:hideMark/>
          </w:tcPr>
          <w:p w14:paraId="67C123E1" w14:textId="77777777" w:rsidR="00A05DD6" w:rsidRPr="00EE48FD" w:rsidRDefault="00A05DD6" w:rsidP="003307C8">
            <w:pPr>
              <w:spacing w:after="0" w:line="240" w:lineRule="auto"/>
              <w:jc w:val="center"/>
              <w:rPr>
                <w:rFonts w:ascii="Times New Roman" w:eastAsia="Times New Roman" w:hAnsi="Times New Roman" w:cs="Times New Roman"/>
                <w:sz w:val="18"/>
                <w:szCs w:val="18"/>
                <w:lang w:eastAsia="en-GB"/>
              </w:rPr>
            </w:pPr>
            <w:r w:rsidRPr="00EE48FD">
              <w:rPr>
                <w:rFonts w:ascii="Times New Roman" w:eastAsia="Times New Roman" w:hAnsi="Times New Roman" w:cs="Times New Roman"/>
                <w:sz w:val="18"/>
                <w:szCs w:val="18"/>
                <w:lang w:eastAsia="en-GB"/>
              </w:rPr>
              <w:t>0,9</w:t>
            </w:r>
          </w:p>
        </w:tc>
        <w:tc>
          <w:tcPr>
            <w:tcW w:w="855" w:type="dxa"/>
            <w:noWrap/>
            <w:vAlign w:val="center"/>
            <w:hideMark/>
          </w:tcPr>
          <w:p w14:paraId="778A5251" w14:textId="77777777" w:rsidR="00A05DD6" w:rsidRPr="00EE48FD" w:rsidRDefault="00A05DD6" w:rsidP="003307C8">
            <w:pPr>
              <w:spacing w:after="0" w:line="240" w:lineRule="auto"/>
              <w:jc w:val="center"/>
              <w:rPr>
                <w:rFonts w:ascii="Times New Roman" w:eastAsia="Times New Roman" w:hAnsi="Times New Roman" w:cs="Times New Roman"/>
                <w:sz w:val="18"/>
                <w:szCs w:val="18"/>
                <w:lang w:eastAsia="en-GB"/>
              </w:rPr>
            </w:pPr>
            <w:r w:rsidRPr="00EE48FD">
              <w:rPr>
                <w:rFonts w:ascii="Times New Roman" w:eastAsia="Times New Roman" w:hAnsi="Times New Roman" w:cs="Times New Roman"/>
                <w:sz w:val="18"/>
                <w:szCs w:val="18"/>
                <w:lang w:eastAsia="en-GB"/>
              </w:rPr>
              <w:t>1,38 €</w:t>
            </w:r>
          </w:p>
        </w:tc>
        <w:tc>
          <w:tcPr>
            <w:tcW w:w="854" w:type="dxa"/>
            <w:noWrap/>
            <w:vAlign w:val="center"/>
            <w:hideMark/>
          </w:tcPr>
          <w:p w14:paraId="1084D6A1" w14:textId="77777777" w:rsidR="00A05DD6" w:rsidRPr="00EE48FD" w:rsidRDefault="00A05DD6" w:rsidP="003307C8">
            <w:pPr>
              <w:spacing w:after="0" w:line="240" w:lineRule="auto"/>
              <w:jc w:val="center"/>
              <w:rPr>
                <w:rFonts w:ascii="Times New Roman" w:eastAsia="Times New Roman" w:hAnsi="Times New Roman" w:cs="Times New Roman"/>
                <w:b/>
                <w:bCs/>
                <w:sz w:val="18"/>
                <w:szCs w:val="18"/>
                <w:lang w:eastAsia="en-GB"/>
              </w:rPr>
            </w:pPr>
            <w:r w:rsidRPr="00EE48FD">
              <w:rPr>
                <w:rFonts w:ascii="Times New Roman" w:eastAsia="Times New Roman" w:hAnsi="Times New Roman" w:cs="Times New Roman"/>
                <w:b/>
                <w:bCs/>
                <w:sz w:val="18"/>
                <w:szCs w:val="18"/>
                <w:lang w:eastAsia="en-GB"/>
              </w:rPr>
              <w:t>1,24 €</w:t>
            </w:r>
          </w:p>
        </w:tc>
        <w:tc>
          <w:tcPr>
            <w:tcW w:w="709" w:type="dxa"/>
            <w:noWrap/>
            <w:vAlign w:val="center"/>
            <w:hideMark/>
          </w:tcPr>
          <w:p w14:paraId="235100DA" w14:textId="77777777" w:rsidR="00A05DD6" w:rsidRPr="00EE48FD" w:rsidRDefault="00A05DD6" w:rsidP="003307C8">
            <w:pPr>
              <w:spacing w:after="0" w:line="240" w:lineRule="auto"/>
              <w:jc w:val="center"/>
              <w:rPr>
                <w:rFonts w:ascii="Times New Roman" w:eastAsia="Times New Roman" w:hAnsi="Times New Roman" w:cs="Times New Roman"/>
                <w:b/>
                <w:bCs/>
                <w:sz w:val="18"/>
                <w:szCs w:val="18"/>
                <w:lang w:eastAsia="en-GB"/>
              </w:rPr>
            </w:pPr>
            <w:r w:rsidRPr="00EE48FD">
              <w:rPr>
                <w:rFonts w:ascii="Times New Roman" w:eastAsia="Times New Roman" w:hAnsi="Times New Roman" w:cs="Times New Roman"/>
                <w:b/>
                <w:bCs/>
                <w:sz w:val="18"/>
                <w:szCs w:val="18"/>
                <w:lang w:eastAsia="en-GB"/>
              </w:rPr>
              <w:t>1</w:t>
            </w:r>
          </w:p>
        </w:tc>
        <w:tc>
          <w:tcPr>
            <w:tcW w:w="984" w:type="dxa"/>
            <w:noWrap/>
            <w:vAlign w:val="center"/>
            <w:hideMark/>
          </w:tcPr>
          <w:p w14:paraId="759A797E" w14:textId="77777777" w:rsidR="00A05DD6" w:rsidRPr="00EE48FD" w:rsidRDefault="00A05DD6" w:rsidP="003307C8">
            <w:pPr>
              <w:spacing w:after="0" w:line="240" w:lineRule="auto"/>
              <w:jc w:val="center"/>
              <w:rPr>
                <w:rFonts w:ascii="Times New Roman" w:eastAsia="Times New Roman" w:hAnsi="Times New Roman" w:cs="Times New Roman"/>
                <w:sz w:val="18"/>
                <w:szCs w:val="18"/>
                <w:lang w:eastAsia="en-GB"/>
              </w:rPr>
            </w:pPr>
            <w:r w:rsidRPr="00EE48FD">
              <w:rPr>
                <w:rFonts w:ascii="Times New Roman" w:eastAsia="Times New Roman" w:hAnsi="Times New Roman" w:cs="Times New Roman"/>
                <w:sz w:val="18"/>
                <w:szCs w:val="18"/>
                <w:lang w:eastAsia="en-GB"/>
              </w:rPr>
              <w:t>2,00 €</w:t>
            </w:r>
          </w:p>
        </w:tc>
        <w:tc>
          <w:tcPr>
            <w:tcW w:w="993" w:type="dxa"/>
            <w:noWrap/>
            <w:vAlign w:val="center"/>
            <w:hideMark/>
          </w:tcPr>
          <w:p w14:paraId="4233CFDC" w14:textId="77777777" w:rsidR="00A05DD6" w:rsidRPr="00EE48FD" w:rsidRDefault="00A05DD6" w:rsidP="003307C8">
            <w:pPr>
              <w:spacing w:after="0" w:line="240" w:lineRule="auto"/>
              <w:jc w:val="center"/>
              <w:rPr>
                <w:rFonts w:ascii="Times New Roman" w:eastAsia="Times New Roman" w:hAnsi="Times New Roman" w:cs="Times New Roman"/>
                <w:b/>
                <w:bCs/>
                <w:sz w:val="18"/>
                <w:szCs w:val="18"/>
                <w:lang w:eastAsia="en-GB"/>
              </w:rPr>
            </w:pPr>
            <w:r w:rsidRPr="00EE48FD">
              <w:rPr>
                <w:rFonts w:ascii="Times New Roman" w:eastAsia="Times New Roman" w:hAnsi="Times New Roman" w:cs="Times New Roman"/>
                <w:b/>
                <w:bCs/>
                <w:sz w:val="18"/>
                <w:szCs w:val="18"/>
                <w:lang w:eastAsia="en-GB"/>
              </w:rPr>
              <w:t>2,00 €</w:t>
            </w:r>
          </w:p>
        </w:tc>
        <w:tc>
          <w:tcPr>
            <w:tcW w:w="1134" w:type="dxa"/>
            <w:noWrap/>
            <w:vAlign w:val="center"/>
            <w:hideMark/>
          </w:tcPr>
          <w:p w14:paraId="58B9F2C7" w14:textId="77777777" w:rsidR="00A05DD6" w:rsidRPr="00EE48FD" w:rsidRDefault="00A05DD6" w:rsidP="003307C8">
            <w:pPr>
              <w:spacing w:after="0" w:line="240" w:lineRule="auto"/>
              <w:jc w:val="center"/>
              <w:rPr>
                <w:rFonts w:ascii="Times New Roman" w:eastAsia="Times New Roman" w:hAnsi="Times New Roman" w:cs="Times New Roman"/>
                <w:b/>
                <w:bCs/>
                <w:sz w:val="18"/>
                <w:szCs w:val="18"/>
                <w:lang w:eastAsia="en-GB"/>
              </w:rPr>
            </w:pPr>
            <w:r w:rsidRPr="00EE48FD">
              <w:rPr>
                <w:rFonts w:ascii="Times New Roman" w:eastAsia="Times New Roman" w:hAnsi="Times New Roman" w:cs="Times New Roman"/>
                <w:b/>
                <w:bCs/>
                <w:sz w:val="18"/>
                <w:szCs w:val="18"/>
                <w:lang w:eastAsia="en-GB"/>
              </w:rPr>
              <w:t>0,76 €</w:t>
            </w:r>
          </w:p>
        </w:tc>
        <w:tc>
          <w:tcPr>
            <w:tcW w:w="1275" w:type="dxa"/>
            <w:noWrap/>
            <w:vAlign w:val="center"/>
            <w:hideMark/>
          </w:tcPr>
          <w:p w14:paraId="5EB57AD1" w14:textId="77777777" w:rsidR="00A05DD6" w:rsidRPr="00EE48FD" w:rsidRDefault="00A05DD6" w:rsidP="003307C8">
            <w:pPr>
              <w:spacing w:after="0" w:line="240" w:lineRule="auto"/>
              <w:jc w:val="center"/>
              <w:rPr>
                <w:rFonts w:ascii="Times New Roman" w:eastAsia="Times New Roman" w:hAnsi="Times New Roman" w:cs="Times New Roman"/>
                <w:b/>
                <w:bCs/>
                <w:sz w:val="18"/>
                <w:szCs w:val="18"/>
                <w:lang w:eastAsia="en-GB"/>
              </w:rPr>
            </w:pPr>
            <w:r w:rsidRPr="00EE48FD">
              <w:rPr>
                <w:rFonts w:ascii="Times New Roman" w:eastAsia="Times New Roman" w:hAnsi="Times New Roman" w:cs="Times New Roman"/>
                <w:b/>
                <w:bCs/>
                <w:sz w:val="18"/>
                <w:szCs w:val="18"/>
                <w:lang w:eastAsia="en-GB"/>
              </w:rPr>
              <w:t>6,32 €</w:t>
            </w:r>
          </w:p>
        </w:tc>
      </w:tr>
      <w:tr w:rsidR="00A05DD6" w:rsidRPr="00EE48FD" w14:paraId="28E05FA1" w14:textId="77777777" w:rsidTr="00A05DD6">
        <w:trPr>
          <w:trHeight w:val="576"/>
          <w:jc w:val="center"/>
        </w:trPr>
        <w:tc>
          <w:tcPr>
            <w:tcW w:w="1413" w:type="dxa"/>
            <w:vAlign w:val="center"/>
            <w:hideMark/>
          </w:tcPr>
          <w:p w14:paraId="6B0341E0" w14:textId="77777777" w:rsidR="00A05DD6" w:rsidRPr="00EE48FD" w:rsidRDefault="00A05DD6" w:rsidP="0060512E">
            <w:pPr>
              <w:spacing w:after="0" w:line="240" w:lineRule="auto"/>
              <w:jc w:val="center"/>
              <w:rPr>
                <w:rFonts w:ascii="Times New Roman" w:eastAsia="Times New Roman" w:hAnsi="Times New Roman" w:cs="Times New Roman"/>
                <w:sz w:val="18"/>
                <w:szCs w:val="18"/>
                <w:lang w:eastAsia="en-GB"/>
              </w:rPr>
            </w:pPr>
            <w:r w:rsidRPr="00EE48FD">
              <w:rPr>
                <w:rFonts w:ascii="Times New Roman" w:eastAsia="Times New Roman" w:hAnsi="Times New Roman" w:cs="Times New Roman"/>
                <w:sz w:val="18"/>
                <w:szCs w:val="18"/>
                <w:lang w:eastAsia="en-GB"/>
              </w:rPr>
              <w:t>DIO NASELJA OPATIJA</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7031A7E" w14:textId="37799AC9" w:rsidR="00A05DD6" w:rsidRPr="00EE48FD" w:rsidRDefault="00A05DD6" w:rsidP="0060512E">
            <w:pPr>
              <w:spacing w:after="0" w:line="240" w:lineRule="auto"/>
              <w:jc w:val="center"/>
              <w:rPr>
                <w:rFonts w:ascii="Times New Roman" w:eastAsia="Times New Roman" w:hAnsi="Times New Roman" w:cs="Times New Roman"/>
                <w:sz w:val="18"/>
                <w:szCs w:val="18"/>
                <w:lang w:eastAsia="en-GB"/>
              </w:rPr>
            </w:pPr>
            <w:r w:rsidRPr="00EE48FD">
              <w:rPr>
                <w:rFonts w:ascii="Times New Roman" w:hAnsi="Times New Roman" w:cs="Times New Roman"/>
                <w:sz w:val="18"/>
                <w:szCs w:val="18"/>
              </w:rPr>
              <w:t>0,7</w:t>
            </w:r>
          </w:p>
        </w:tc>
        <w:tc>
          <w:tcPr>
            <w:tcW w:w="855" w:type="dxa"/>
            <w:tcBorders>
              <w:top w:val="single" w:sz="4" w:space="0" w:color="auto"/>
              <w:left w:val="nil"/>
              <w:bottom w:val="single" w:sz="4" w:space="0" w:color="auto"/>
              <w:right w:val="single" w:sz="4" w:space="0" w:color="auto"/>
            </w:tcBorders>
            <w:noWrap/>
            <w:vAlign w:val="center"/>
            <w:hideMark/>
          </w:tcPr>
          <w:p w14:paraId="4D1C582C" w14:textId="13BAA322" w:rsidR="00A05DD6" w:rsidRPr="00EE48FD" w:rsidRDefault="00A05DD6" w:rsidP="0060512E">
            <w:pPr>
              <w:spacing w:after="0" w:line="240" w:lineRule="auto"/>
              <w:jc w:val="center"/>
              <w:rPr>
                <w:rFonts w:ascii="Times New Roman" w:eastAsia="Times New Roman" w:hAnsi="Times New Roman" w:cs="Times New Roman"/>
                <w:sz w:val="18"/>
                <w:szCs w:val="18"/>
                <w:lang w:eastAsia="en-GB"/>
              </w:rPr>
            </w:pPr>
            <w:r w:rsidRPr="00EE48FD">
              <w:rPr>
                <w:rFonts w:ascii="Times New Roman" w:hAnsi="Times New Roman" w:cs="Times New Roman"/>
                <w:sz w:val="18"/>
                <w:szCs w:val="18"/>
              </w:rPr>
              <w:t>1,38 €</w:t>
            </w:r>
          </w:p>
        </w:tc>
        <w:tc>
          <w:tcPr>
            <w:tcW w:w="854" w:type="dxa"/>
            <w:tcBorders>
              <w:top w:val="single" w:sz="4" w:space="0" w:color="auto"/>
              <w:left w:val="nil"/>
              <w:bottom w:val="single" w:sz="4" w:space="0" w:color="auto"/>
              <w:right w:val="single" w:sz="4" w:space="0" w:color="auto"/>
            </w:tcBorders>
            <w:noWrap/>
            <w:vAlign w:val="center"/>
            <w:hideMark/>
          </w:tcPr>
          <w:p w14:paraId="536F6853" w14:textId="7CBFACFD" w:rsidR="00A05DD6" w:rsidRPr="00EE48FD" w:rsidRDefault="00A05DD6" w:rsidP="0060512E">
            <w:pPr>
              <w:spacing w:after="0" w:line="240" w:lineRule="auto"/>
              <w:jc w:val="center"/>
              <w:rPr>
                <w:rFonts w:ascii="Times New Roman" w:eastAsia="Times New Roman" w:hAnsi="Times New Roman" w:cs="Times New Roman"/>
                <w:b/>
                <w:bCs/>
                <w:sz w:val="18"/>
                <w:szCs w:val="18"/>
                <w:lang w:eastAsia="en-GB"/>
              </w:rPr>
            </w:pPr>
            <w:r w:rsidRPr="00EE48FD">
              <w:rPr>
                <w:rFonts w:ascii="Times New Roman" w:hAnsi="Times New Roman" w:cs="Times New Roman"/>
                <w:b/>
                <w:bCs/>
                <w:sz w:val="18"/>
                <w:szCs w:val="18"/>
              </w:rPr>
              <w:t>0,97 €</w:t>
            </w:r>
          </w:p>
        </w:tc>
        <w:tc>
          <w:tcPr>
            <w:tcW w:w="709" w:type="dxa"/>
            <w:tcBorders>
              <w:top w:val="single" w:sz="4" w:space="0" w:color="auto"/>
              <w:left w:val="nil"/>
              <w:bottom w:val="single" w:sz="4" w:space="0" w:color="auto"/>
              <w:right w:val="single" w:sz="4" w:space="0" w:color="auto"/>
            </w:tcBorders>
            <w:noWrap/>
            <w:vAlign w:val="center"/>
            <w:hideMark/>
          </w:tcPr>
          <w:p w14:paraId="0F5C24BB" w14:textId="20666FBF" w:rsidR="00A05DD6" w:rsidRPr="00EE48FD" w:rsidRDefault="00A05DD6" w:rsidP="0060512E">
            <w:pPr>
              <w:spacing w:after="0" w:line="240" w:lineRule="auto"/>
              <w:jc w:val="center"/>
              <w:rPr>
                <w:rFonts w:ascii="Times New Roman" w:eastAsia="Times New Roman" w:hAnsi="Times New Roman" w:cs="Times New Roman"/>
                <w:b/>
                <w:bCs/>
                <w:sz w:val="18"/>
                <w:szCs w:val="18"/>
                <w:lang w:eastAsia="en-GB"/>
              </w:rPr>
            </w:pPr>
            <w:r w:rsidRPr="00EE48FD">
              <w:rPr>
                <w:rFonts w:ascii="Times New Roman" w:hAnsi="Times New Roman" w:cs="Times New Roman"/>
                <w:sz w:val="18"/>
                <w:szCs w:val="18"/>
              </w:rPr>
              <w:t>0,8</w:t>
            </w:r>
          </w:p>
        </w:tc>
        <w:tc>
          <w:tcPr>
            <w:tcW w:w="984" w:type="dxa"/>
            <w:tcBorders>
              <w:top w:val="single" w:sz="4" w:space="0" w:color="auto"/>
              <w:left w:val="nil"/>
              <w:bottom w:val="single" w:sz="4" w:space="0" w:color="auto"/>
              <w:right w:val="single" w:sz="4" w:space="0" w:color="auto"/>
            </w:tcBorders>
            <w:noWrap/>
            <w:vAlign w:val="center"/>
            <w:hideMark/>
          </w:tcPr>
          <w:p w14:paraId="5CF9E0BD" w14:textId="7F88A0C0" w:rsidR="00A05DD6" w:rsidRPr="00EE48FD" w:rsidRDefault="00A05DD6" w:rsidP="0060512E">
            <w:pPr>
              <w:spacing w:after="0" w:line="240" w:lineRule="auto"/>
              <w:jc w:val="center"/>
              <w:rPr>
                <w:rFonts w:ascii="Times New Roman" w:eastAsia="Times New Roman" w:hAnsi="Times New Roman" w:cs="Times New Roman"/>
                <w:sz w:val="18"/>
                <w:szCs w:val="18"/>
                <w:lang w:eastAsia="en-GB"/>
              </w:rPr>
            </w:pPr>
            <w:r w:rsidRPr="00EE48FD">
              <w:rPr>
                <w:rFonts w:ascii="Times New Roman" w:hAnsi="Times New Roman" w:cs="Times New Roman"/>
                <w:sz w:val="18"/>
                <w:szCs w:val="18"/>
              </w:rPr>
              <w:t>2,00 €</w:t>
            </w:r>
          </w:p>
        </w:tc>
        <w:tc>
          <w:tcPr>
            <w:tcW w:w="993" w:type="dxa"/>
            <w:tcBorders>
              <w:top w:val="single" w:sz="4" w:space="0" w:color="auto"/>
              <w:left w:val="nil"/>
              <w:bottom w:val="single" w:sz="4" w:space="0" w:color="auto"/>
              <w:right w:val="single" w:sz="4" w:space="0" w:color="auto"/>
            </w:tcBorders>
            <w:noWrap/>
            <w:vAlign w:val="center"/>
            <w:hideMark/>
          </w:tcPr>
          <w:p w14:paraId="792FA572" w14:textId="0E63238F" w:rsidR="00A05DD6" w:rsidRPr="00EE48FD" w:rsidRDefault="00A05DD6" w:rsidP="0060512E">
            <w:pPr>
              <w:spacing w:after="0" w:line="240" w:lineRule="auto"/>
              <w:jc w:val="center"/>
              <w:rPr>
                <w:rFonts w:ascii="Times New Roman" w:eastAsia="Times New Roman" w:hAnsi="Times New Roman" w:cs="Times New Roman"/>
                <w:b/>
                <w:bCs/>
                <w:sz w:val="18"/>
                <w:szCs w:val="18"/>
                <w:lang w:eastAsia="en-GB"/>
              </w:rPr>
            </w:pPr>
            <w:r w:rsidRPr="00EE48FD">
              <w:rPr>
                <w:rFonts w:ascii="Times New Roman" w:hAnsi="Times New Roman" w:cs="Times New Roman"/>
                <w:b/>
                <w:bCs/>
                <w:sz w:val="18"/>
                <w:szCs w:val="18"/>
              </w:rPr>
              <w:t>1,60 €</w:t>
            </w:r>
          </w:p>
        </w:tc>
        <w:tc>
          <w:tcPr>
            <w:tcW w:w="1134" w:type="dxa"/>
            <w:tcBorders>
              <w:top w:val="single" w:sz="4" w:space="0" w:color="auto"/>
              <w:left w:val="nil"/>
              <w:bottom w:val="single" w:sz="4" w:space="0" w:color="auto"/>
              <w:right w:val="single" w:sz="4" w:space="0" w:color="auto"/>
            </w:tcBorders>
            <w:noWrap/>
            <w:vAlign w:val="center"/>
            <w:hideMark/>
          </w:tcPr>
          <w:p w14:paraId="33EB111B" w14:textId="21E2B617" w:rsidR="00A05DD6" w:rsidRPr="00EE48FD" w:rsidRDefault="00A05DD6" w:rsidP="0060512E">
            <w:pPr>
              <w:spacing w:after="0" w:line="240" w:lineRule="auto"/>
              <w:jc w:val="center"/>
              <w:rPr>
                <w:rFonts w:ascii="Times New Roman" w:eastAsia="Times New Roman" w:hAnsi="Times New Roman" w:cs="Times New Roman"/>
                <w:b/>
                <w:bCs/>
                <w:sz w:val="18"/>
                <w:szCs w:val="18"/>
                <w:lang w:eastAsia="en-GB"/>
              </w:rPr>
            </w:pPr>
            <w:r w:rsidRPr="00EE48FD">
              <w:rPr>
                <w:rFonts w:ascii="Times New Roman" w:hAnsi="Times New Roman" w:cs="Times New Roman"/>
                <w:b/>
                <w:bCs/>
                <w:sz w:val="18"/>
                <w:szCs w:val="18"/>
              </w:rPr>
              <w:t>0,63 €</w:t>
            </w:r>
          </w:p>
        </w:tc>
        <w:tc>
          <w:tcPr>
            <w:tcW w:w="1275" w:type="dxa"/>
            <w:tcBorders>
              <w:top w:val="single" w:sz="4" w:space="0" w:color="auto"/>
              <w:left w:val="nil"/>
              <w:bottom w:val="single" w:sz="4" w:space="0" w:color="auto"/>
              <w:right w:val="single" w:sz="4" w:space="0" w:color="auto"/>
            </w:tcBorders>
            <w:noWrap/>
            <w:vAlign w:val="center"/>
            <w:hideMark/>
          </w:tcPr>
          <w:p w14:paraId="0F2C12F8" w14:textId="100A0AA8" w:rsidR="00A05DD6" w:rsidRPr="00EE48FD" w:rsidRDefault="00A05DD6" w:rsidP="0060512E">
            <w:pPr>
              <w:spacing w:after="0" w:line="240" w:lineRule="auto"/>
              <w:jc w:val="center"/>
              <w:rPr>
                <w:rFonts w:ascii="Times New Roman" w:eastAsia="Times New Roman" w:hAnsi="Times New Roman" w:cs="Times New Roman"/>
                <w:b/>
                <w:bCs/>
                <w:sz w:val="18"/>
                <w:szCs w:val="18"/>
                <w:lang w:eastAsia="en-GB"/>
              </w:rPr>
            </w:pPr>
            <w:r w:rsidRPr="00EE48FD">
              <w:rPr>
                <w:rFonts w:ascii="Times New Roman" w:hAnsi="Times New Roman" w:cs="Times New Roman"/>
                <w:b/>
                <w:bCs/>
                <w:sz w:val="18"/>
                <w:szCs w:val="18"/>
              </w:rPr>
              <w:t>5,28 €</w:t>
            </w:r>
          </w:p>
        </w:tc>
      </w:tr>
    </w:tbl>
    <w:p w14:paraId="005E3179" w14:textId="77777777" w:rsidR="003307C8" w:rsidRPr="00EE48FD" w:rsidRDefault="003307C8" w:rsidP="00FA29EA">
      <w:pPr>
        <w:pStyle w:val="box458203"/>
        <w:spacing w:before="0" w:beforeAutospacing="0" w:after="0" w:afterAutospacing="0"/>
        <w:jc w:val="both"/>
        <w:textAlignment w:val="baseline"/>
      </w:pPr>
    </w:p>
    <w:p w14:paraId="2FC85FE3" w14:textId="6A1FFDBC" w:rsidR="00B22353" w:rsidRPr="00EE48FD" w:rsidRDefault="00FA29EA" w:rsidP="00B22353">
      <w:pPr>
        <w:spacing w:after="0" w:line="240" w:lineRule="auto"/>
        <w:jc w:val="both"/>
        <w:rPr>
          <w:rFonts w:ascii="Times New Roman" w:hAnsi="Times New Roman" w:cs="Times New Roman"/>
          <w:b/>
          <w:sz w:val="24"/>
          <w:szCs w:val="24"/>
          <w:lang w:val="pl-PL"/>
        </w:rPr>
      </w:pPr>
      <w:r w:rsidRPr="00EE48FD">
        <w:rPr>
          <w:rFonts w:ascii="Times New Roman" w:hAnsi="Times New Roman" w:cs="Times New Roman"/>
          <w:bCs/>
          <w:sz w:val="24"/>
          <w:szCs w:val="24"/>
          <w:lang w:val="pl-PL"/>
        </w:rPr>
        <w:t xml:space="preserve">Na kraju naglašavamo da je u provedbi važeće Odluke i Zakona uočeno da pravne i fizičke osobe često ne ispunjavaju zakonsku obvezu prijave nastanka obveze plaćanja komunalne naknade. Tako </w:t>
      </w:r>
      <w:r w:rsidR="00A05DD6" w:rsidRPr="00EE48FD">
        <w:rPr>
          <w:rFonts w:ascii="Times New Roman" w:hAnsi="Times New Roman" w:cs="Times New Roman"/>
          <w:bCs/>
          <w:sz w:val="24"/>
          <w:szCs w:val="24"/>
          <w:lang w:val="pl-PL"/>
        </w:rPr>
        <w:t>ukazujemo</w:t>
      </w:r>
      <w:r w:rsidRPr="00EE48FD">
        <w:rPr>
          <w:rFonts w:ascii="Times New Roman" w:hAnsi="Times New Roman" w:cs="Times New Roman"/>
          <w:bCs/>
          <w:sz w:val="24"/>
          <w:szCs w:val="24"/>
          <w:lang w:val="pl-PL"/>
        </w:rPr>
        <w:t xml:space="preserve"> da je obveznik plaćanja komunalne naknade dužan </w:t>
      </w:r>
      <w:r w:rsidRPr="00EE48FD">
        <w:rPr>
          <w:rFonts w:ascii="Times New Roman" w:hAnsi="Times New Roman" w:cs="Times New Roman"/>
          <w:b/>
          <w:sz w:val="24"/>
          <w:szCs w:val="24"/>
          <w:lang w:val="pl-PL"/>
        </w:rPr>
        <w:t>u roku od 15 dana od dana nastanka obveze plaćanja komunalne naknade</w:t>
      </w:r>
      <w:r w:rsidRPr="00EE48FD">
        <w:rPr>
          <w:rFonts w:ascii="Times New Roman" w:hAnsi="Times New Roman" w:cs="Times New Roman"/>
          <w:bCs/>
          <w:sz w:val="24"/>
          <w:szCs w:val="24"/>
          <w:lang w:val="pl-PL"/>
        </w:rPr>
        <w:t xml:space="preserve">, promjene osobe obveznika ili promjene drugih podataka bitnih za utvrđivanje obveze plaćanja komunalne naknade </w:t>
      </w:r>
      <w:r w:rsidRPr="00EE48FD">
        <w:rPr>
          <w:rFonts w:ascii="Times New Roman" w:hAnsi="Times New Roman" w:cs="Times New Roman"/>
          <w:b/>
          <w:sz w:val="24"/>
          <w:szCs w:val="24"/>
          <w:lang w:val="pl-PL"/>
        </w:rPr>
        <w:t>prijaviti upravnom tijelu nastanak te obveze odnosno promjenu tih podataka, a ako</w:t>
      </w:r>
      <w:r w:rsidR="00B22353" w:rsidRPr="00EE48FD">
        <w:rPr>
          <w:rFonts w:ascii="Times New Roman" w:hAnsi="Times New Roman" w:cs="Times New Roman"/>
          <w:b/>
          <w:sz w:val="24"/>
          <w:szCs w:val="24"/>
          <w:lang w:val="pl-PL"/>
        </w:rPr>
        <w:t xml:space="preserve"> </w:t>
      </w:r>
      <w:r w:rsidRPr="00EE48FD">
        <w:rPr>
          <w:rFonts w:ascii="Times New Roman" w:hAnsi="Times New Roman" w:cs="Times New Roman"/>
          <w:bCs/>
          <w:sz w:val="24"/>
          <w:szCs w:val="24"/>
          <w:lang w:val="pl-PL"/>
        </w:rPr>
        <w:t xml:space="preserve">obveznik plaćanja komunalne naknade ne prijavi obvezu plaćanja komunalne naknade, promjenu osobe obveznika ili promjenu drugih podataka bitnih za utvrđivanje obveze plaćanja komunalne naknade u propisanom roku, </w:t>
      </w:r>
      <w:r w:rsidRPr="00EE48FD">
        <w:rPr>
          <w:rFonts w:ascii="Times New Roman" w:hAnsi="Times New Roman" w:cs="Times New Roman"/>
          <w:b/>
          <w:sz w:val="24"/>
          <w:szCs w:val="24"/>
          <w:lang w:val="pl-PL"/>
        </w:rPr>
        <w:t>dužan je platiti komunalnu naknadu od dana nastanka obveze</w:t>
      </w:r>
      <w:r w:rsidR="00910847" w:rsidRPr="00EE48FD">
        <w:rPr>
          <w:rFonts w:ascii="Times New Roman" w:hAnsi="Times New Roman" w:cs="Times New Roman"/>
          <w:b/>
          <w:sz w:val="24"/>
          <w:szCs w:val="24"/>
          <w:lang w:val="pl-PL"/>
        </w:rPr>
        <w:t xml:space="preserve"> </w:t>
      </w:r>
      <w:r w:rsidR="00187A9E" w:rsidRPr="00EE48FD">
        <w:rPr>
          <w:rFonts w:ascii="Times New Roman" w:hAnsi="Times New Roman" w:cs="Times New Roman"/>
          <w:b/>
          <w:sz w:val="24"/>
          <w:szCs w:val="24"/>
          <w:lang w:val="pl-PL"/>
        </w:rPr>
        <w:t>odnosno</w:t>
      </w:r>
      <w:r w:rsidR="00B22353" w:rsidRPr="00EE48FD">
        <w:rPr>
          <w:rFonts w:ascii="Times New Roman" w:hAnsi="Times New Roman" w:cs="Times New Roman"/>
          <w:b/>
          <w:sz w:val="24"/>
          <w:szCs w:val="24"/>
          <w:lang w:val="pl-PL"/>
        </w:rPr>
        <w:t>:</w:t>
      </w:r>
    </w:p>
    <w:p w14:paraId="45FD09C8" w14:textId="77777777" w:rsidR="00187A9E" w:rsidRPr="00EE48FD" w:rsidRDefault="00187A9E" w:rsidP="00B22353">
      <w:pPr>
        <w:spacing w:after="0" w:line="240" w:lineRule="auto"/>
        <w:jc w:val="both"/>
        <w:rPr>
          <w:rFonts w:ascii="Times New Roman" w:hAnsi="Times New Roman" w:cs="Times New Roman"/>
          <w:b/>
          <w:sz w:val="24"/>
          <w:szCs w:val="24"/>
          <w:lang w:val="pl-PL"/>
        </w:rPr>
      </w:pPr>
    </w:p>
    <w:p w14:paraId="35136427" w14:textId="0C3AA267" w:rsidR="00B22353" w:rsidRPr="00EE48FD" w:rsidRDefault="00B22353" w:rsidP="00B22353">
      <w:pPr>
        <w:spacing w:after="0" w:line="240" w:lineRule="auto"/>
        <w:ind w:firstLine="708"/>
        <w:jc w:val="both"/>
        <w:rPr>
          <w:rFonts w:ascii="Times New Roman" w:hAnsi="Times New Roman" w:cs="Times New Roman"/>
          <w:bCs/>
          <w:sz w:val="24"/>
          <w:szCs w:val="24"/>
          <w:lang w:val="pl-PL"/>
        </w:rPr>
      </w:pPr>
      <w:r w:rsidRPr="00EE48FD">
        <w:rPr>
          <w:rFonts w:ascii="Times New Roman" w:hAnsi="Times New Roman" w:cs="Times New Roman"/>
          <w:bCs/>
          <w:sz w:val="24"/>
          <w:szCs w:val="24"/>
          <w:lang w:val="pl-PL"/>
        </w:rPr>
        <w:t>1. danom izvršnosti uporabne dozvole odnosno danom početka korištenja nekretnine koja se koristi bez uporabne dozvole (npr. ishođenjem kućnog broja neovisno da li je ishođena uporabna dozvola)</w:t>
      </w:r>
    </w:p>
    <w:p w14:paraId="43F5FA18" w14:textId="77777777" w:rsidR="00B22353" w:rsidRPr="00EE48FD" w:rsidRDefault="00B22353" w:rsidP="00B22353">
      <w:pPr>
        <w:spacing w:after="0" w:line="240" w:lineRule="auto"/>
        <w:ind w:firstLine="708"/>
        <w:jc w:val="both"/>
        <w:rPr>
          <w:rFonts w:ascii="Times New Roman" w:hAnsi="Times New Roman" w:cs="Times New Roman"/>
          <w:bCs/>
          <w:sz w:val="24"/>
          <w:szCs w:val="24"/>
          <w:lang w:val="pl-PL"/>
        </w:rPr>
      </w:pPr>
      <w:r w:rsidRPr="00EE48FD">
        <w:rPr>
          <w:rFonts w:ascii="Times New Roman" w:hAnsi="Times New Roman" w:cs="Times New Roman"/>
          <w:bCs/>
          <w:sz w:val="24"/>
          <w:szCs w:val="24"/>
          <w:lang w:val="pl-PL"/>
        </w:rPr>
        <w:t>2. danom sklapanja ugovora kojim se stječe vlasništvo ili pravo korištenja nekretnine</w:t>
      </w:r>
    </w:p>
    <w:p w14:paraId="4E8840F6" w14:textId="77777777" w:rsidR="00B22353" w:rsidRPr="00EE48FD" w:rsidRDefault="00B22353" w:rsidP="00B22353">
      <w:pPr>
        <w:spacing w:after="0" w:line="240" w:lineRule="auto"/>
        <w:ind w:firstLine="708"/>
        <w:jc w:val="both"/>
        <w:rPr>
          <w:rFonts w:ascii="Times New Roman" w:hAnsi="Times New Roman" w:cs="Times New Roman"/>
          <w:bCs/>
          <w:sz w:val="24"/>
          <w:szCs w:val="24"/>
          <w:lang w:val="pl-PL"/>
        </w:rPr>
      </w:pPr>
      <w:r w:rsidRPr="00EE48FD">
        <w:rPr>
          <w:rFonts w:ascii="Times New Roman" w:hAnsi="Times New Roman" w:cs="Times New Roman"/>
          <w:bCs/>
          <w:sz w:val="24"/>
          <w:szCs w:val="24"/>
          <w:lang w:val="pl-PL"/>
        </w:rPr>
        <w:t>3. danom pravomoćnosti odluke tijela javne vlasti kojim se stječe vlasništvo nekretnine</w:t>
      </w:r>
    </w:p>
    <w:p w14:paraId="06A9A99E" w14:textId="5C30F9D4" w:rsidR="00B22353" w:rsidRPr="00EE48FD" w:rsidRDefault="00B22353" w:rsidP="00B22353">
      <w:pPr>
        <w:spacing w:after="0" w:line="240" w:lineRule="auto"/>
        <w:ind w:firstLine="708"/>
        <w:jc w:val="both"/>
        <w:rPr>
          <w:rFonts w:ascii="Times New Roman" w:hAnsi="Times New Roman" w:cs="Times New Roman"/>
          <w:bCs/>
          <w:sz w:val="24"/>
          <w:szCs w:val="24"/>
          <w:lang w:val="pl-PL"/>
        </w:rPr>
      </w:pPr>
      <w:r w:rsidRPr="00EE48FD">
        <w:rPr>
          <w:rFonts w:ascii="Times New Roman" w:hAnsi="Times New Roman" w:cs="Times New Roman"/>
          <w:bCs/>
          <w:sz w:val="24"/>
          <w:szCs w:val="24"/>
          <w:lang w:val="pl-PL"/>
        </w:rPr>
        <w:t>4. danom početka korištenja nekretnine koja se koristi bez pravne osnove.</w:t>
      </w:r>
    </w:p>
    <w:p w14:paraId="6FE827D5" w14:textId="77777777" w:rsidR="00B22353" w:rsidRPr="00EE48FD" w:rsidRDefault="00B22353" w:rsidP="00FA29EA">
      <w:pPr>
        <w:spacing w:after="0" w:line="240" w:lineRule="auto"/>
        <w:jc w:val="both"/>
        <w:rPr>
          <w:rFonts w:ascii="Times New Roman" w:hAnsi="Times New Roman" w:cs="Times New Roman"/>
          <w:b/>
          <w:sz w:val="24"/>
          <w:szCs w:val="24"/>
          <w:lang w:val="pl-PL"/>
        </w:rPr>
      </w:pPr>
    </w:p>
    <w:p w14:paraId="6E4E9C13" w14:textId="176D0CB5" w:rsidR="00187A9E" w:rsidRPr="00EE48FD" w:rsidRDefault="00187A9E">
      <w:pPr>
        <w:spacing w:line="259" w:lineRule="auto"/>
        <w:rPr>
          <w:rFonts w:ascii="Times New Roman" w:hAnsi="Times New Roman" w:cs="Times New Roman"/>
          <w:b/>
          <w:lang w:val="pl-PL"/>
        </w:rPr>
      </w:pPr>
      <w:r w:rsidRPr="00EE48FD">
        <w:rPr>
          <w:rFonts w:ascii="Times New Roman" w:hAnsi="Times New Roman" w:cs="Times New Roman"/>
          <w:b/>
          <w:lang w:val="pl-PL"/>
        </w:rPr>
        <w:br w:type="page"/>
      </w:r>
    </w:p>
    <w:p w14:paraId="4D8D476E" w14:textId="77777777" w:rsidR="00FA29EA" w:rsidRPr="00EE48FD" w:rsidRDefault="00FA29EA" w:rsidP="00B4725D">
      <w:pPr>
        <w:spacing w:after="0" w:line="240" w:lineRule="auto"/>
        <w:rPr>
          <w:rFonts w:ascii="Times New Roman" w:hAnsi="Times New Roman" w:cs="Times New Roman"/>
          <w:b/>
          <w:lang w:val="pl-PL"/>
        </w:rPr>
      </w:pPr>
    </w:p>
    <w:p w14:paraId="195DFF2F" w14:textId="77777777" w:rsidR="00FF1AE1" w:rsidRPr="00EE48FD" w:rsidRDefault="00FF1AE1" w:rsidP="00B4725D">
      <w:pPr>
        <w:spacing w:after="0" w:line="240" w:lineRule="auto"/>
        <w:rPr>
          <w:rFonts w:ascii="Times New Roman" w:hAnsi="Times New Roman" w:cs="Times New Roman"/>
          <w:b/>
          <w:sz w:val="24"/>
          <w:szCs w:val="24"/>
          <w:lang w:val="pl-PL"/>
        </w:rPr>
      </w:pPr>
      <w:r w:rsidRPr="00EE48FD">
        <w:rPr>
          <w:rFonts w:ascii="Times New Roman" w:hAnsi="Times New Roman" w:cs="Times New Roman"/>
          <w:b/>
          <w:sz w:val="24"/>
          <w:szCs w:val="24"/>
          <w:lang w:val="pl-PL"/>
        </w:rPr>
        <w:t>FINANCIJSKI UČINAK</w:t>
      </w:r>
    </w:p>
    <w:p w14:paraId="2DEC2891" w14:textId="77777777" w:rsidR="00B22353" w:rsidRPr="00EE48FD" w:rsidRDefault="00B22353" w:rsidP="00B4725D">
      <w:pPr>
        <w:pStyle w:val="box458203"/>
        <w:spacing w:before="0" w:beforeAutospacing="0" w:after="0" w:afterAutospacing="0"/>
        <w:jc w:val="both"/>
        <w:textAlignment w:val="baseline"/>
        <w:rPr>
          <w:b/>
        </w:rPr>
      </w:pPr>
    </w:p>
    <w:p w14:paraId="316B9603" w14:textId="5DD77A98" w:rsidR="00CD7853" w:rsidRDefault="00FF1AE1" w:rsidP="00CD7853">
      <w:pPr>
        <w:spacing w:line="240" w:lineRule="auto"/>
        <w:jc w:val="both"/>
        <w:rPr>
          <w:rFonts w:ascii="Times New Roman" w:eastAsia="Times New Roman" w:hAnsi="Times New Roman" w:cs="Times New Roman"/>
          <w:bCs/>
          <w:sz w:val="24"/>
          <w:szCs w:val="24"/>
          <w:lang w:val="pl-PL" w:eastAsia="en-GB"/>
        </w:rPr>
      </w:pPr>
      <w:r w:rsidRPr="00EE48FD">
        <w:rPr>
          <w:rFonts w:ascii="Times New Roman" w:hAnsi="Times New Roman" w:cs="Times New Roman"/>
          <w:bCs/>
          <w:sz w:val="24"/>
          <w:szCs w:val="24"/>
          <w:lang w:val="pl-PL"/>
        </w:rPr>
        <w:t xml:space="preserve">U slučaju prihvaćanja prijedloga ove Odluke procjenjuje se da bi </w:t>
      </w:r>
      <w:r w:rsidR="00B22353" w:rsidRPr="00EE48FD">
        <w:rPr>
          <w:rFonts w:ascii="Times New Roman" w:hAnsi="Times New Roman" w:cs="Times New Roman"/>
          <w:bCs/>
          <w:sz w:val="24"/>
          <w:szCs w:val="24"/>
          <w:lang w:val="pl-PL"/>
        </w:rPr>
        <w:t xml:space="preserve">se </w:t>
      </w:r>
      <w:r w:rsidRPr="00EE48FD">
        <w:rPr>
          <w:rFonts w:ascii="Times New Roman" w:hAnsi="Times New Roman" w:cs="Times New Roman"/>
          <w:bCs/>
          <w:sz w:val="24"/>
          <w:szCs w:val="24"/>
          <w:lang w:val="pl-PL"/>
        </w:rPr>
        <w:t>prihodi od komunalne</w:t>
      </w:r>
      <w:r w:rsidR="00A05DD6" w:rsidRPr="00EE48FD">
        <w:rPr>
          <w:lang w:val="pl-PL"/>
        </w:rPr>
        <w:t xml:space="preserve"> </w:t>
      </w:r>
      <w:r w:rsidR="00A05DD6" w:rsidRPr="00EE48FD">
        <w:rPr>
          <w:rFonts w:ascii="Times New Roman" w:hAnsi="Times New Roman" w:cs="Times New Roman"/>
          <w:bCs/>
          <w:sz w:val="24"/>
          <w:szCs w:val="24"/>
          <w:lang w:val="pl-PL"/>
        </w:rPr>
        <w:t>naknade, uz povećanje vrijednosti boda na 2,00 EUR /m2,</w:t>
      </w:r>
      <w:r w:rsidRPr="00EE48FD">
        <w:rPr>
          <w:rFonts w:ascii="Times New Roman" w:hAnsi="Times New Roman" w:cs="Times New Roman"/>
          <w:bCs/>
          <w:sz w:val="24"/>
          <w:szCs w:val="24"/>
          <w:lang w:val="pl-PL"/>
        </w:rPr>
        <w:t xml:space="preserve"> </w:t>
      </w:r>
      <w:r w:rsidR="005E06AC" w:rsidRPr="00EE48FD">
        <w:rPr>
          <w:rFonts w:ascii="Times New Roman" w:hAnsi="Times New Roman" w:cs="Times New Roman"/>
          <w:bCs/>
          <w:sz w:val="24"/>
          <w:szCs w:val="24"/>
          <w:lang w:val="pl-PL"/>
        </w:rPr>
        <w:t xml:space="preserve">dodatno </w:t>
      </w:r>
      <w:r w:rsidR="00B22353" w:rsidRPr="00EE48FD">
        <w:rPr>
          <w:rFonts w:ascii="Times New Roman" w:hAnsi="Times New Roman" w:cs="Times New Roman"/>
          <w:bCs/>
          <w:sz w:val="24"/>
          <w:szCs w:val="24"/>
          <w:lang w:val="pl-PL"/>
        </w:rPr>
        <w:t>povećali</w:t>
      </w:r>
      <w:r w:rsidR="00CD7853" w:rsidRPr="00EE48FD">
        <w:rPr>
          <w:rFonts w:ascii="Times New Roman" w:hAnsi="Times New Roman" w:cs="Times New Roman"/>
          <w:bCs/>
          <w:sz w:val="24"/>
          <w:szCs w:val="24"/>
          <w:lang w:val="pl-PL"/>
        </w:rPr>
        <w:t>,</w:t>
      </w:r>
      <w:r w:rsidR="00B22353" w:rsidRPr="00EE48FD">
        <w:rPr>
          <w:rFonts w:ascii="Times New Roman" w:hAnsi="Times New Roman" w:cs="Times New Roman"/>
          <w:bCs/>
          <w:sz w:val="24"/>
          <w:szCs w:val="24"/>
          <w:lang w:val="pl-PL"/>
        </w:rPr>
        <w:t xml:space="preserve"> po osnovi promjene ZONA</w:t>
      </w:r>
      <w:r w:rsidR="004F61BF" w:rsidRPr="00EE48FD">
        <w:rPr>
          <w:rFonts w:ascii="Times New Roman" w:hAnsi="Times New Roman" w:cs="Times New Roman"/>
          <w:bCs/>
          <w:sz w:val="24"/>
          <w:szCs w:val="24"/>
          <w:lang w:val="pl-PL"/>
        </w:rPr>
        <w:t xml:space="preserve">, </w:t>
      </w:r>
      <w:r w:rsidR="00B22353" w:rsidRPr="00EE48FD">
        <w:rPr>
          <w:rFonts w:ascii="Times New Roman" w:hAnsi="Times New Roman" w:cs="Times New Roman"/>
          <w:bCs/>
          <w:sz w:val="24"/>
          <w:szCs w:val="24"/>
          <w:lang w:val="pl-PL"/>
        </w:rPr>
        <w:t>područja ZONA</w:t>
      </w:r>
      <w:r w:rsidR="004F61BF" w:rsidRPr="00EE48FD">
        <w:rPr>
          <w:rFonts w:ascii="Times New Roman" w:hAnsi="Times New Roman" w:cs="Times New Roman"/>
          <w:bCs/>
          <w:sz w:val="24"/>
          <w:szCs w:val="24"/>
          <w:lang w:val="pl-PL"/>
        </w:rPr>
        <w:t xml:space="preserve"> odnosno koeficijenata ZONA</w:t>
      </w:r>
      <w:r w:rsidR="00C304F9" w:rsidRPr="00EE48FD">
        <w:rPr>
          <w:rFonts w:ascii="Times New Roman" w:hAnsi="Times New Roman" w:cs="Times New Roman"/>
          <w:bCs/>
          <w:sz w:val="24"/>
          <w:szCs w:val="24"/>
          <w:lang w:val="pl-PL"/>
        </w:rPr>
        <w:t xml:space="preserve">, za </w:t>
      </w:r>
      <w:r w:rsidR="00CD7853" w:rsidRPr="00EE48FD">
        <w:rPr>
          <w:rFonts w:ascii="Times New Roman" w:eastAsia="Times New Roman" w:hAnsi="Times New Roman" w:cs="Times New Roman"/>
          <w:bCs/>
          <w:sz w:val="24"/>
          <w:szCs w:val="24"/>
          <w:lang w:val="pl-PL" w:eastAsia="en-GB"/>
        </w:rPr>
        <w:t>cca 120.000</w:t>
      </w:r>
      <w:r w:rsidR="00C304F9" w:rsidRPr="00EE48FD">
        <w:rPr>
          <w:rFonts w:ascii="Times New Roman" w:eastAsia="Times New Roman" w:hAnsi="Times New Roman" w:cs="Times New Roman"/>
          <w:bCs/>
          <w:sz w:val="24"/>
          <w:szCs w:val="24"/>
          <w:lang w:val="pl-PL" w:eastAsia="en-GB"/>
        </w:rPr>
        <w:t xml:space="preserve"> EUR.</w:t>
      </w:r>
    </w:p>
    <w:p w14:paraId="179A0390" w14:textId="77777777" w:rsidR="009F7D6D" w:rsidRPr="00EE48FD" w:rsidRDefault="009F7D6D" w:rsidP="00CD7853">
      <w:pPr>
        <w:spacing w:line="240" w:lineRule="auto"/>
        <w:jc w:val="both"/>
        <w:rPr>
          <w:rFonts w:ascii="Times New Roman" w:eastAsia="Times New Roman" w:hAnsi="Times New Roman" w:cs="Times New Roman"/>
          <w:bCs/>
          <w:sz w:val="24"/>
          <w:szCs w:val="24"/>
          <w:lang w:val="pl-PL" w:eastAsia="en-GB"/>
        </w:rPr>
      </w:pPr>
    </w:p>
    <w:p w14:paraId="316BED87" w14:textId="2E8704BE" w:rsidR="00FF1AE1" w:rsidRPr="00EE48FD" w:rsidRDefault="00FF1AE1" w:rsidP="00CD7853">
      <w:pPr>
        <w:spacing w:line="240" w:lineRule="auto"/>
        <w:jc w:val="both"/>
        <w:rPr>
          <w:rFonts w:ascii="Times New Roman" w:hAnsi="Times New Roman" w:cs="Times New Roman"/>
          <w:b/>
          <w:sz w:val="24"/>
          <w:szCs w:val="24"/>
          <w:lang w:val="pl-PL"/>
        </w:rPr>
      </w:pPr>
      <w:r w:rsidRPr="00EE48FD">
        <w:rPr>
          <w:rFonts w:ascii="Times New Roman" w:hAnsi="Times New Roman" w:cs="Times New Roman"/>
          <w:b/>
          <w:sz w:val="24"/>
          <w:szCs w:val="24"/>
          <w:lang w:val="pl-PL"/>
        </w:rPr>
        <w:t>SAVJETOVANJE SA ZAINTERESIRANOM JAVNOŠĆU</w:t>
      </w:r>
    </w:p>
    <w:p w14:paraId="1484209F" w14:textId="13C49432" w:rsidR="00FF1AE1" w:rsidRPr="00EE48FD" w:rsidRDefault="00FF1AE1" w:rsidP="00B4725D">
      <w:pPr>
        <w:spacing w:after="0" w:line="240" w:lineRule="auto"/>
        <w:jc w:val="both"/>
        <w:rPr>
          <w:rFonts w:ascii="Times New Roman" w:hAnsi="Times New Roman" w:cs="Times New Roman"/>
          <w:bCs/>
          <w:sz w:val="24"/>
          <w:szCs w:val="24"/>
          <w:lang w:val="pl-PL"/>
        </w:rPr>
      </w:pPr>
      <w:r w:rsidRPr="00EE48FD">
        <w:rPr>
          <w:rFonts w:ascii="Times New Roman" w:hAnsi="Times New Roman" w:cs="Times New Roman"/>
          <w:bCs/>
          <w:sz w:val="24"/>
          <w:szCs w:val="24"/>
          <w:lang w:val="pl-PL"/>
        </w:rPr>
        <w:t xml:space="preserve">O prijedlogu ove odluke održati će se savjetovanje sa zainteresiranom javnošću </w:t>
      </w:r>
      <w:r w:rsidR="008F05CE" w:rsidRPr="00EE48FD">
        <w:rPr>
          <w:rFonts w:ascii="Times New Roman" w:hAnsi="Times New Roman" w:cs="Times New Roman"/>
          <w:bCs/>
          <w:sz w:val="24"/>
          <w:szCs w:val="24"/>
          <w:lang w:val="pl-PL"/>
        </w:rPr>
        <w:t xml:space="preserve">u trajanju od 30 dana o čemu </w:t>
      </w:r>
      <w:r w:rsidRPr="00EE48FD">
        <w:rPr>
          <w:rFonts w:ascii="Times New Roman" w:hAnsi="Times New Roman" w:cs="Times New Roman"/>
          <w:bCs/>
          <w:sz w:val="24"/>
          <w:szCs w:val="24"/>
          <w:lang w:val="pl-PL"/>
        </w:rPr>
        <w:t>će biti sastavljeno izvješće koje će se javno objaviti na mrežnoj stranci Grada Opatije</w:t>
      </w:r>
      <w:r w:rsidR="008F05CE" w:rsidRPr="00EE48FD">
        <w:rPr>
          <w:rFonts w:ascii="Times New Roman" w:hAnsi="Times New Roman" w:cs="Times New Roman"/>
          <w:bCs/>
          <w:sz w:val="24"/>
          <w:szCs w:val="24"/>
          <w:lang w:val="pl-PL"/>
        </w:rPr>
        <w:t>.</w:t>
      </w:r>
    </w:p>
    <w:p w14:paraId="2BE43FAA" w14:textId="77777777" w:rsidR="00FF1AE1" w:rsidRPr="00EE48FD" w:rsidRDefault="00FF1AE1" w:rsidP="00B4725D">
      <w:pPr>
        <w:spacing w:after="0" w:line="240" w:lineRule="auto"/>
        <w:jc w:val="both"/>
        <w:rPr>
          <w:rFonts w:ascii="Times New Roman" w:hAnsi="Times New Roman" w:cs="Times New Roman"/>
          <w:bCs/>
          <w:sz w:val="24"/>
          <w:szCs w:val="24"/>
          <w:lang w:val="pl-PL"/>
        </w:rPr>
      </w:pPr>
    </w:p>
    <w:p w14:paraId="221D3D20" w14:textId="77777777" w:rsidR="00FF1AE1" w:rsidRPr="00EE48FD" w:rsidRDefault="00FF1AE1" w:rsidP="00B4725D">
      <w:pPr>
        <w:pStyle w:val="box458203"/>
        <w:spacing w:before="0" w:beforeAutospacing="0" w:after="0" w:afterAutospacing="0"/>
        <w:jc w:val="both"/>
        <w:textAlignment w:val="baseline"/>
        <w:rPr>
          <w:bCs/>
        </w:rPr>
      </w:pPr>
    </w:p>
    <w:p w14:paraId="705704A9" w14:textId="61CCE4DB" w:rsidR="00FF1AE1" w:rsidRPr="00EE48FD" w:rsidRDefault="00FF1AE1" w:rsidP="00B4725D">
      <w:pPr>
        <w:pStyle w:val="box458203"/>
        <w:spacing w:before="0" w:beforeAutospacing="0" w:after="0" w:afterAutospacing="0"/>
        <w:jc w:val="both"/>
        <w:textAlignment w:val="baseline"/>
        <w:rPr>
          <w:bCs/>
        </w:rPr>
      </w:pPr>
      <w:r w:rsidRPr="00EE48FD">
        <w:rPr>
          <w:bCs/>
        </w:rPr>
        <w:t>U Opatiji, listopad 2025</w:t>
      </w:r>
      <w:r w:rsidR="008F05CE" w:rsidRPr="00EE48FD">
        <w:rPr>
          <w:bCs/>
        </w:rPr>
        <w:t>.</w:t>
      </w:r>
    </w:p>
    <w:p w14:paraId="555AB1DE" w14:textId="77777777" w:rsidR="00FF1AE1" w:rsidRPr="00EE48FD" w:rsidRDefault="00FF1AE1" w:rsidP="00B4725D">
      <w:pPr>
        <w:pStyle w:val="box458203"/>
        <w:spacing w:before="0" w:beforeAutospacing="0" w:after="0" w:afterAutospacing="0"/>
        <w:jc w:val="both"/>
        <w:textAlignment w:val="baseline"/>
        <w:rPr>
          <w:bCs/>
        </w:rPr>
      </w:pPr>
    </w:p>
    <w:p w14:paraId="13666FD6" w14:textId="77777777" w:rsidR="00FF1AE1" w:rsidRPr="00EE48FD" w:rsidRDefault="00FF1AE1" w:rsidP="00B4725D">
      <w:pPr>
        <w:pStyle w:val="box458203"/>
        <w:spacing w:before="0" w:beforeAutospacing="0" w:after="0" w:afterAutospacing="0"/>
        <w:jc w:val="center"/>
        <w:textAlignment w:val="baseline"/>
        <w:rPr>
          <w:b/>
        </w:rPr>
      </w:pPr>
      <w:r w:rsidRPr="00EE48FD">
        <w:rPr>
          <w:b/>
        </w:rPr>
        <w:t>Gradonačelnik:</w:t>
      </w:r>
    </w:p>
    <w:p w14:paraId="423A59C8" w14:textId="4903FD1B" w:rsidR="00B4725D" w:rsidRPr="00EE48FD" w:rsidRDefault="00FF1AE1" w:rsidP="00B4725D">
      <w:pPr>
        <w:pStyle w:val="box458203"/>
        <w:spacing w:before="0" w:beforeAutospacing="0" w:after="0" w:afterAutospacing="0"/>
        <w:jc w:val="center"/>
        <w:textAlignment w:val="baseline"/>
        <w:rPr>
          <w:bCs/>
        </w:rPr>
      </w:pPr>
      <w:r w:rsidRPr="00EE48FD">
        <w:rPr>
          <w:bCs/>
        </w:rPr>
        <w:t xml:space="preserve">Fernando Kirigin, </w:t>
      </w:r>
      <w:proofErr w:type="spellStart"/>
      <w:r w:rsidRPr="00EE48FD">
        <w:rPr>
          <w:bCs/>
        </w:rPr>
        <w:t>mag.oec</w:t>
      </w:r>
      <w:proofErr w:type="spellEnd"/>
      <w:r w:rsidRPr="00EE48FD">
        <w:rPr>
          <w:bCs/>
        </w:rPr>
        <w:t>.</w:t>
      </w:r>
    </w:p>
    <w:p w14:paraId="3911D52B" w14:textId="77777777" w:rsidR="00B4725D" w:rsidRPr="00EE48FD" w:rsidRDefault="00B4725D" w:rsidP="00B4725D">
      <w:pPr>
        <w:spacing w:after="0" w:line="240" w:lineRule="auto"/>
        <w:rPr>
          <w:rFonts w:ascii="Times New Roman" w:eastAsia="Times New Roman" w:hAnsi="Times New Roman" w:cs="Times New Roman"/>
          <w:bCs/>
          <w:sz w:val="24"/>
          <w:szCs w:val="24"/>
          <w:lang w:val="hr-HR" w:eastAsia="hr-HR"/>
        </w:rPr>
      </w:pPr>
      <w:r w:rsidRPr="00EE48FD">
        <w:rPr>
          <w:bCs/>
          <w:lang w:val="pl-PL"/>
        </w:rPr>
        <w:br w:type="page"/>
      </w:r>
    </w:p>
    <w:p w14:paraId="4DD6EB0C" w14:textId="77777777" w:rsidR="00FF1AE1" w:rsidRPr="00EE48FD" w:rsidRDefault="00FF1AE1" w:rsidP="00B4725D">
      <w:pPr>
        <w:pStyle w:val="box458203"/>
        <w:spacing w:before="0" w:beforeAutospacing="0" w:after="0" w:afterAutospacing="0"/>
        <w:jc w:val="center"/>
        <w:textAlignment w:val="baseline"/>
        <w:rPr>
          <w:bCs/>
        </w:rPr>
      </w:pPr>
    </w:p>
    <w:p w14:paraId="16F1BA03" w14:textId="77777777" w:rsidR="008C2837" w:rsidRPr="00EE48FD" w:rsidRDefault="008C2837" w:rsidP="008C2837">
      <w:pPr>
        <w:spacing w:after="0" w:line="240" w:lineRule="auto"/>
        <w:jc w:val="both"/>
        <w:rPr>
          <w:rFonts w:ascii="Times New Roman" w:eastAsia="Times New Roman" w:hAnsi="Times New Roman" w:cs="Times New Roman"/>
          <w:sz w:val="24"/>
          <w:szCs w:val="24"/>
          <w:lang w:val="pl-PL" w:eastAsia="en-GB"/>
        </w:rPr>
      </w:pPr>
      <w:r w:rsidRPr="00EE48FD">
        <w:rPr>
          <w:rFonts w:ascii="Times New Roman" w:eastAsia="Aptos" w:hAnsi="Times New Roman" w:cs="Times New Roman"/>
          <w:sz w:val="24"/>
          <w:szCs w:val="24"/>
          <w:lang w:val="pl-PL"/>
        </w:rPr>
        <w:t xml:space="preserve">Na temelju članka 95. stavka 1. Zakona o komunalnom gospodarstvu (“Narodne novine” br. 68/ 18, 110/18, 32/20 i 145/24) i članka 29. stavka 1. podstavka 24. Statuta Grada Opatije („Službene novine Primorsko - goranske županije“ broj 49/23), </w:t>
      </w:r>
      <w:r w:rsidRPr="00EE48FD">
        <w:rPr>
          <w:rFonts w:ascii="Times New Roman" w:eastAsia="Times New Roman" w:hAnsi="Times New Roman" w:cs="Times New Roman"/>
          <w:sz w:val="24"/>
          <w:szCs w:val="24"/>
          <w:lang w:val="pl-PL" w:eastAsia="en-GB"/>
        </w:rPr>
        <w:t xml:space="preserve">Gradsko vijeće Grada Opatije, na sjednici održanoj dana ______________. donijelo je </w:t>
      </w:r>
    </w:p>
    <w:p w14:paraId="5279BBF0" w14:textId="77777777" w:rsidR="008C2837" w:rsidRPr="00EE48FD" w:rsidRDefault="008C2837" w:rsidP="008C2837">
      <w:pPr>
        <w:spacing w:after="0" w:line="240" w:lineRule="auto"/>
        <w:jc w:val="both"/>
        <w:rPr>
          <w:rFonts w:ascii="Times New Roman" w:eastAsia="Times New Roman" w:hAnsi="Times New Roman" w:cs="Times New Roman"/>
          <w:sz w:val="24"/>
          <w:szCs w:val="24"/>
          <w:lang w:val="pl-PL" w:eastAsia="en-GB"/>
        </w:rPr>
      </w:pPr>
    </w:p>
    <w:p w14:paraId="611A7DC3" w14:textId="77777777" w:rsidR="00CD7853" w:rsidRPr="00EE48FD" w:rsidRDefault="00CD7853" w:rsidP="008C2837">
      <w:pPr>
        <w:spacing w:after="0" w:line="240" w:lineRule="auto"/>
        <w:jc w:val="both"/>
        <w:rPr>
          <w:rFonts w:ascii="Times New Roman" w:eastAsia="Times New Roman" w:hAnsi="Times New Roman" w:cs="Times New Roman"/>
          <w:sz w:val="24"/>
          <w:szCs w:val="24"/>
          <w:lang w:val="pl-PL" w:eastAsia="en-GB"/>
        </w:rPr>
      </w:pPr>
    </w:p>
    <w:p w14:paraId="232BBE88" w14:textId="77777777" w:rsidR="008C2837" w:rsidRPr="00EE48FD" w:rsidRDefault="008C2837" w:rsidP="008C2837">
      <w:pPr>
        <w:shd w:val="clear" w:color="auto" w:fill="FFFFFF"/>
        <w:spacing w:after="0" w:line="240" w:lineRule="auto"/>
        <w:jc w:val="center"/>
        <w:rPr>
          <w:rFonts w:ascii="Times New Roman" w:eastAsia="Times New Roman" w:hAnsi="Times New Roman" w:cs="Times New Roman"/>
          <w:sz w:val="24"/>
          <w:szCs w:val="24"/>
          <w:lang w:val="pl-PL" w:eastAsia="en-GB"/>
        </w:rPr>
      </w:pPr>
      <w:bookmarkStart w:id="0" w:name="_Hlk211776760"/>
      <w:r w:rsidRPr="00EE48FD">
        <w:rPr>
          <w:rFonts w:ascii="Times New Roman" w:eastAsia="Times New Roman" w:hAnsi="Times New Roman" w:cs="Times New Roman"/>
          <w:b/>
          <w:bCs/>
          <w:sz w:val="24"/>
          <w:szCs w:val="24"/>
          <w:lang w:val="pl-PL" w:eastAsia="en-GB"/>
        </w:rPr>
        <w:t>ODLUKU</w:t>
      </w:r>
      <w:r w:rsidRPr="00EE48FD">
        <w:rPr>
          <w:rFonts w:ascii="Times New Roman" w:eastAsia="Times New Roman" w:hAnsi="Times New Roman" w:cs="Times New Roman"/>
          <w:b/>
          <w:bCs/>
          <w:sz w:val="24"/>
          <w:szCs w:val="24"/>
          <w:lang w:val="pl-PL" w:eastAsia="en-GB"/>
        </w:rPr>
        <w:br/>
        <w:t>o komunalnoj naknadi</w:t>
      </w:r>
    </w:p>
    <w:bookmarkEnd w:id="0"/>
    <w:p w14:paraId="603920CD" w14:textId="77777777" w:rsidR="008C2837" w:rsidRPr="00EE48FD" w:rsidRDefault="008C2837" w:rsidP="008C2837">
      <w:pPr>
        <w:shd w:val="clear" w:color="auto" w:fill="FFFFFF"/>
        <w:spacing w:after="0" w:line="240" w:lineRule="auto"/>
        <w:rPr>
          <w:rFonts w:ascii="Times New Roman" w:eastAsia="Times New Roman" w:hAnsi="Times New Roman" w:cs="Times New Roman"/>
          <w:b/>
          <w:bCs/>
          <w:sz w:val="24"/>
          <w:szCs w:val="24"/>
          <w:lang w:val="pl-PL" w:eastAsia="en-GB"/>
        </w:rPr>
      </w:pPr>
    </w:p>
    <w:p w14:paraId="0AAC378F" w14:textId="77777777" w:rsidR="008C2837" w:rsidRPr="00EE48FD" w:rsidRDefault="008C2837" w:rsidP="008C2837">
      <w:pPr>
        <w:shd w:val="clear" w:color="auto" w:fill="FFFFFF"/>
        <w:spacing w:after="0" w:line="240" w:lineRule="auto"/>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b/>
          <w:bCs/>
          <w:sz w:val="24"/>
          <w:szCs w:val="24"/>
          <w:lang w:val="pl-PL" w:eastAsia="en-GB"/>
        </w:rPr>
        <w:t>OPĆE ODREDBE</w:t>
      </w:r>
    </w:p>
    <w:p w14:paraId="0BDC2FAF" w14:textId="77777777" w:rsidR="008C2837" w:rsidRPr="00EE48FD" w:rsidRDefault="008C2837" w:rsidP="008C2837">
      <w:pPr>
        <w:shd w:val="clear" w:color="auto" w:fill="FFFFFF"/>
        <w:spacing w:after="0" w:line="240" w:lineRule="auto"/>
        <w:jc w:val="center"/>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Članak 1.</w:t>
      </w:r>
    </w:p>
    <w:p w14:paraId="191E1209" w14:textId="77777777" w:rsidR="008C2837" w:rsidRPr="00EE48FD" w:rsidRDefault="008C2837" w:rsidP="008C2837">
      <w:pPr>
        <w:shd w:val="clear" w:color="auto" w:fill="FFFFFF"/>
        <w:spacing w:after="0" w:line="240" w:lineRule="auto"/>
        <w:jc w:val="center"/>
        <w:rPr>
          <w:rFonts w:ascii="Times New Roman" w:eastAsia="Times New Roman" w:hAnsi="Times New Roman" w:cs="Times New Roman"/>
          <w:sz w:val="24"/>
          <w:szCs w:val="24"/>
          <w:lang w:val="pl-PL" w:eastAsia="en-GB"/>
        </w:rPr>
      </w:pPr>
    </w:p>
    <w:p w14:paraId="31A6A55C" w14:textId="77777777" w:rsidR="008C2837" w:rsidRPr="00EE48FD" w:rsidRDefault="008C2837" w:rsidP="008C2837">
      <w:pPr>
        <w:shd w:val="clear" w:color="auto" w:fill="FFFFFF"/>
        <w:spacing w:after="0" w:line="240" w:lineRule="auto"/>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Ovom Odlukom utvrđuju se: područja zona na području Grada Opatije u kojima se naplaćuje komunalna naknada, koeficijent zone (Kz) za pojedine zone na području Grada Opatije u kojima se naplaćuje komunalna naknada, koeficijent namjene (Kn) za nekretnine za koje se plaća komunalna naknada, načini i rokovi plaćanja komunalne naknade, nekretnine važne za Grad Opatiju za koje se ne plaća komunalna naknada i opće uvjete i razloge zbog kojih se u pojedinačnim slučajevima odobrava djelomično ili potpuno oslobađanje plaćanja komunalne naknade.</w:t>
      </w:r>
    </w:p>
    <w:p w14:paraId="612275D7" w14:textId="77777777" w:rsidR="008C2837" w:rsidRPr="00EE48FD" w:rsidRDefault="008C2837" w:rsidP="008C2837">
      <w:pPr>
        <w:shd w:val="clear" w:color="auto" w:fill="FFFFFF"/>
        <w:spacing w:after="0" w:line="240" w:lineRule="auto"/>
        <w:rPr>
          <w:rFonts w:ascii="Times New Roman" w:eastAsia="Times New Roman" w:hAnsi="Times New Roman" w:cs="Times New Roman"/>
          <w:b/>
          <w:bCs/>
          <w:sz w:val="24"/>
          <w:szCs w:val="24"/>
          <w:lang w:val="pl-PL" w:eastAsia="en-GB"/>
        </w:rPr>
      </w:pPr>
    </w:p>
    <w:p w14:paraId="020F9486" w14:textId="77777777" w:rsidR="008C2837" w:rsidRPr="00EE48FD" w:rsidRDefault="008C2837" w:rsidP="008C2837">
      <w:pPr>
        <w:shd w:val="clear" w:color="auto" w:fill="FFFFFF"/>
        <w:spacing w:after="0" w:line="240" w:lineRule="auto"/>
        <w:rPr>
          <w:rFonts w:ascii="Times New Roman" w:eastAsia="Times New Roman" w:hAnsi="Times New Roman" w:cs="Times New Roman"/>
          <w:b/>
          <w:bCs/>
          <w:sz w:val="24"/>
          <w:szCs w:val="24"/>
          <w:lang w:val="pl-PL" w:eastAsia="en-GB"/>
        </w:rPr>
      </w:pPr>
      <w:r w:rsidRPr="00EE48FD">
        <w:rPr>
          <w:rFonts w:ascii="Times New Roman" w:eastAsia="Times New Roman" w:hAnsi="Times New Roman" w:cs="Times New Roman"/>
          <w:b/>
          <w:bCs/>
          <w:sz w:val="24"/>
          <w:szCs w:val="24"/>
          <w:lang w:val="pl-PL" w:eastAsia="en-GB"/>
        </w:rPr>
        <w:t>PODRUČJA I KOEFICIJENTI ZONA</w:t>
      </w:r>
    </w:p>
    <w:p w14:paraId="2AC17CDF" w14:textId="77777777" w:rsidR="008C2837" w:rsidRPr="00EE48FD" w:rsidRDefault="008C2837" w:rsidP="008C2837">
      <w:pPr>
        <w:shd w:val="clear" w:color="auto" w:fill="FFFFFF"/>
        <w:spacing w:after="0" w:line="240" w:lineRule="auto"/>
        <w:rPr>
          <w:rFonts w:ascii="Times New Roman" w:eastAsia="Times New Roman" w:hAnsi="Times New Roman" w:cs="Times New Roman"/>
          <w:sz w:val="24"/>
          <w:szCs w:val="24"/>
          <w:lang w:val="pl-PL" w:eastAsia="en-GB"/>
        </w:rPr>
      </w:pPr>
    </w:p>
    <w:p w14:paraId="5BE04696" w14:textId="77777777" w:rsidR="008C2837" w:rsidRPr="00EE48FD" w:rsidRDefault="008C2837" w:rsidP="008C2837">
      <w:pPr>
        <w:shd w:val="clear" w:color="auto" w:fill="FFFFFF"/>
        <w:spacing w:after="0" w:line="240" w:lineRule="auto"/>
        <w:jc w:val="center"/>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Članak 2.</w:t>
      </w:r>
    </w:p>
    <w:p w14:paraId="4600D596" w14:textId="77777777" w:rsidR="008C2837" w:rsidRPr="00EE48FD" w:rsidRDefault="008C2837" w:rsidP="008C2837">
      <w:pPr>
        <w:shd w:val="clear" w:color="auto" w:fill="FFFFFF"/>
        <w:spacing w:after="0" w:line="240" w:lineRule="auto"/>
        <w:jc w:val="center"/>
        <w:rPr>
          <w:rFonts w:ascii="Times New Roman" w:eastAsia="Times New Roman" w:hAnsi="Times New Roman" w:cs="Times New Roman"/>
          <w:sz w:val="24"/>
          <w:szCs w:val="24"/>
          <w:lang w:val="pl-PL" w:eastAsia="en-GB"/>
        </w:rPr>
      </w:pPr>
    </w:p>
    <w:p w14:paraId="290EC751" w14:textId="77777777" w:rsidR="008C2837" w:rsidRPr="00EE48FD" w:rsidRDefault="008C2837" w:rsidP="008C2837">
      <w:pPr>
        <w:shd w:val="clear" w:color="auto" w:fill="FFFFFF"/>
        <w:spacing w:after="0" w:line="240" w:lineRule="auto"/>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Na području Grada Opatije utvrđuju se sljedeće zone za obračun komunalne naknade:</w:t>
      </w:r>
    </w:p>
    <w:p w14:paraId="37013083" w14:textId="77777777" w:rsidR="008C2837" w:rsidRPr="00EE48FD" w:rsidRDefault="008C2837" w:rsidP="008C2837">
      <w:pPr>
        <w:shd w:val="clear" w:color="auto" w:fill="FFFFFF"/>
        <w:spacing w:after="0" w:line="240" w:lineRule="auto"/>
        <w:jc w:val="both"/>
        <w:rPr>
          <w:rFonts w:ascii="Times New Roman" w:eastAsia="Times New Roman" w:hAnsi="Times New Roman" w:cs="Times New Roman"/>
          <w:sz w:val="24"/>
          <w:szCs w:val="24"/>
          <w:lang w:val="pl-PL" w:eastAsia="en-GB"/>
        </w:rPr>
      </w:pPr>
    </w:p>
    <w:p w14:paraId="3236FD66" w14:textId="77777777" w:rsidR="00AE6314" w:rsidRPr="00EE48FD" w:rsidRDefault="00AE6314" w:rsidP="00AE6314">
      <w:pPr>
        <w:shd w:val="clear" w:color="auto" w:fill="FFFFFF"/>
        <w:spacing w:after="0" w:line="240" w:lineRule="auto"/>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b/>
          <w:bCs/>
          <w:sz w:val="24"/>
          <w:szCs w:val="24"/>
          <w:lang w:val="pl-PL" w:eastAsia="en-GB"/>
        </w:rPr>
        <w:t>1) ZONA I</w:t>
      </w:r>
      <w:r w:rsidRPr="00EE48FD">
        <w:rPr>
          <w:rFonts w:ascii="Times New Roman" w:eastAsia="Times New Roman" w:hAnsi="Times New Roman" w:cs="Times New Roman"/>
          <w:sz w:val="24"/>
          <w:szCs w:val="24"/>
          <w:lang w:val="pl-PL" w:eastAsia="en-GB"/>
        </w:rPr>
        <w:t>:</w:t>
      </w:r>
    </w:p>
    <w:p w14:paraId="02A3FF9C" w14:textId="0D1897BE" w:rsidR="00AE6314" w:rsidRPr="00EE48FD" w:rsidRDefault="00AE6314" w:rsidP="009F7D6D">
      <w:pPr>
        <w:shd w:val="clear" w:color="auto" w:fill="FFFFFF"/>
        <w:spacing w:after="0" w:line="240" w:lineRule="auto"/>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Obuhvaća dio područja naselja Opatija od obalne linije do granice područja koja</w:t>
      </w:r>
      <w:r w:rsidR="009F7D6D">
        <w:rPr>
          <w:rFonts w:ascii="Times New Roman" w:eastAsia="Times New Roman" w:hAnsi="Times New Roman" w:cs="Times New Roman"/>
          <w:sz w:val="24"/>
          <w:szCs w:val="24"/>
          <w:lang w:val="pl-PL" w:eastAsia="en-GB"/>
        </w:rPr>
        <w:t xml:space="preserve"> </w:t>
      </w:r>
      <w:r w:rsidRPr="00EE48FD">
        <w:rPr>
          <w:rFonts w:ascii="Times New Roman" w:eastAsia="Times New Roman" w:hAnsi="Times New Roman" w:cs="Times New Roman"/>
          <w:sz w:val="24"/>
          <w:szCs w:val="24"/>
          <w:lang w:val="pl-PL" w:eastAsia="en-GB"/>
        </w:rPr>
        <w:t>sjeverozapadnim dijelom ide:</w:t>
      </w:r>
    </w:p>
    <w:p w14:paraId="6891B712" w14:textId="77777777" w:rsidR="00AE6314" w:rsidRPr="00EE48FD" w:rsidRDefault="00AE6314" w:rsidP="009F7D6D">
      <w:pPr>
        <w:shd w:val="clear" w:color="auto" w:fill="FFFFFF"/>
        <w:spacing w:after="0" w:line="240" w:lineRule="auto"/>
        <w:ind w:left="426" w:hanging="284"/>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w:t>
      </w:r>
      <w:r w:rsidRPr="00EE48FD">
        <w:rPr>
          <w:rFonts w:ascii="Times New Roman" w:eastAsia="Times New Roman" w:hAnsi="Times New Roman" w:cs="Times New Roman"/>
          <w:sz w:val="24"/>
          <w:szCs w:val="24"/>
          <w:lang w:val="pl-PL" w:eastAsia="en-GB"/>
        </w:rPr>
        <w:tab/>
        <w:t>od granice na Preluku s Gradom Rijeka i to Ulicom Ivana Matetića Ronjgova obuhvaćajući sve objekte koji imaju adresu iste Ulice do raskrižja s Ulicom Pavlovac te sve objekte ispod (istočno i južno) Ulice Ivana Matetića Ronjgova od raskrižja s Ulicom Pavlovac do početka Ulice Rikarda Katalinića Jeretova,</w:t>
      </w:r>
    </w:p>
    <w:p w14:paraId="39291E9C" w14:textId="77777777" w:rsidR="00AE6314" w:rsidRPr="00EE48FD" w:rsidRDefault="00AE6314" w:rsidP="009F7D6D">
      <w:pPr>
        <w:shd w:val="clear" w:color="auto" w:fill="FFFFFF"/>
        <w:spacing w:after="0" w:line="240" w:lineRule="auto"/>
        <w:ind w:left="426" w:hanging="284"/>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w:t>
      </w:r>
      <w:r w:rsidRPr="00EE48FD">
        <w:rPr>
          <w:rFonts w:ascii="Times New Roman" w:eastAsia="Times New Roman" w:hAnsi="Times New Roman" w:cs="Times New Roman"/>
          <w:sz w:val="24"/>
          <w:szCs w:val="24"/>
          <w:lang w:val="pl-PL" w:eastAsia="en-GB"/>
        </w:rPr>
        <w:tab/>
        <w:t xml:space="preserve">nastavlja se Ulicom Rikarda Katalinića Jeretova, a obuhvaća sve objekte ispod (istočno) iste Ulice, </w:t>
      </w:r>
    </w:p>
    <w:p w14:paraId="798814D2" w14:textId="77777777" w:rsidR="00AE6314" w:rsidRPr="00EE48FD" w:rsidRDefault="00AE6314" w:rsidP="009F7D6D">
      <w:pPr>
        <w:shd w:val="clear" w:color="auto" w:fill="FFFFFF"/>
        <w:spacing w:after="0" w:line="240" w:lineRule="auto"/>
        <w:ind w:left="426" w:hanging="284"/>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w:t>
      </w:r>
      <w:r w:rsidRPr="00EE48FD">
        <w:rPr>
          <w:rFonts w:ascii="Times New Roman" w:eastAsia="Times New Roman" w:hAnsi="Times New Roman" w:cs="Times New Roman"/>
          <w:sz w:val="24"/>
          <w:szCs w:val="24"/>
          <w:lang w:val="pl-PL" w:eastAsia="en-GB"/>
        </w:rPr>
        <w:tab/>
        <w:t xml:space="preserve">nastavlja se Ulicom Maršala Tita do raskrižja s Ulicom Dr. Matka Laginje, a obuhvaća sve objekte s adresom u istoj Ulici uključivo i objekte na adresama Dr. Matka Laginje 2 i 4 te objekt na adresi Stubište Starina 5, </w:t>
      </w:r>
    </w:p>
    <w:p w14:paraId="7493A76F" w14:textId="77777777" w:rsidR="00AE6314" w:rsidRPr="00EE48FD" w:rsidRDefault="00AE6314" w:rsidP="009F7D6D">
      <w:pPr>
        <w:shd w:val="clear" w:color="auto" w:fill="FFFFFF"/>
        <w:spacing w:after="0" w:line="240" w:lineRule="auto"/>
        <w:ind w:left="426" w:hanging="284"/>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w:t>
      </w:r>
      <w:r w:rsidRPr="00EE48FD">
        <w:rPr>
          <w:rFonts w:ascii="Times New Roman" w:eastAsia="Times New Roman" w:hAnsi="Times New Roman" w:cs="Times New Roman"/>
          <w:sz w:val="24"/>
          <w:szCs w:val="24"/>
          <w:lang w:val="pl-PL" w:eastAsia="en-GB"/>
        </w:rPr>
        <w:tab/>
        <w:t xml:space="preserve">zatim se nastavlja sjeverno Ulicom Dr. Matka Laginje do raskrižja s Ulicom Nova Cesta, a obuhvaća sve objekte zapadno od Ulice Dr. Matka Laginje, </w:t>
      </w:r>
    </w:p>
    <w:p w14:paraId="5F8B43EF" w14:textId="52FF496A" w:rsidR="00AE6314" w:rsidRPr="00EE48FD" w:rsidRDefault="00AE6314" w:rsidP="009F7D6D">
      <w:pPr>
        <w:shd w:val="clear" w:color="auto" w:fill="FFFFFF"/>
        <w:spacing w:after="0" w:line="240" w:lineRule="auto"/>
        <w:ind w:left="426" w:hanging="284"/>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w:t>
      </w:r>
      <w:r w:rsidRPr="00EE48FD">
        <w:rPr>
          <w:rFonts w:ascii="Times New Roman" w:eastAsia="Times New Roman" w:hAnsi="Times New Roman" w:cs="Times New Roman"/>
          <w:sz w:val="24"/>
          <w:szCs w:val="24"/>
          <w:lang w:val="pl-PL" w:eastAsia="en-GB"/>
        </w:rPr>
        <w:tab/>
        <w:t>nastavlja se Ulicom Nova cesta od raskrižja s Ulicom Dr. Matka Laginje do raskrižja s Veli Jože, obuhvaćajući sve objekte ispod Ulice Nova cesta,</w:t>
      </w:r>
    </w:p>
    <w:p w14:paraId="7CBA1657" w14:textId="526BC924" w:rsidR="00AE6314" w:rsidRPr="00EE48FD" w:rsidRDefault="00AE6314" w:rsidP="009F7D6D">
      <w:pPr>
        <w:shd w:val="clear" w:color="auto" w:fill="FFFFFF"/>
        <w:spacing w:after="0" w:line="240" w:lineRule="auto"/>
        <w:ind w:left="426" w:hanging="284"/>
        <w:jc w:val="both"/>
        <w:rPr>
          <w:rFonts w:ascii="Times New Roman" w:eastAsia="Times New Roman" w:hAnsi="Times New Roman" w:cs="Times New Roman"/>
          <w:sz w:val="24"/>
          <w:szCs w:val="24"/>
          <w:lang w:eastAsia="en-GB"/>
        </w:rPr>
      </w:pPr>
      <w:r w:rsidRPr="00EE48FD">
        <w:rPr>
          <w:rFonts w:ascii="Times New Roman" w:eastAsia="Times New Roman" w:hAnsi="Times New Roman" w:cs="Times New Roman"/>
          <w:sz w:val="24"/>
          <w:szCs w:val="24"/>
          <w:lang w:eastAsia="en-GB"/>
        </w:rPr>
        <w:t>-</w:t>
      </w:r>
      <w:r w:rsidRPr="00EE48FD">
        <w:rPr>
          <w:rFonts w:ascii="Times New Roman" w:eastAsia="Times New Roman" w:hAnsi="Times New Roman" w:cs="Times New Roman"/>
          <w:sz w:val="24"/>
          <w:szCs w:val="24"/>
          <w:lang w:eastAsia="en-GB"/>
        </w:rPr>
        <w:tab/>
      </w:r>
      <w:proofErr w:type="spellStart"/>
      <w:r w:rsidRPr="00EE48FD">
        <w:rPr>
          <w:rFonts w:ascii="Times New Roman" w:eastAsia="Times New Roman" w:hAnsi="Times New Roman" w:cs="Times New Roman"/>
          <w:sz w:val="24"/>
          <w:szCs w:val="24"/>
          <w:lang w:eastAsia="en-GB"/>
        </w:rPr>
        <w:t>zatim</w:t>
      </w:r>
      <w:proofErr w:type="spellEnd"/>
      <w:r w:rsidRPr="00EE48FD">
        <w:rPr>
          <w:rFonts w:ascii="Times New Roman" w:eastAsia="Times New Roman" w:hAnsi="Times New Roman" w:cs="Times New Roman"/>
          <w:sz w:val="24"/>
          <w:szCs w:val="24"/>
          <w:lang w:eastAsia="en-GB"/>
        </w:rPr>
        <w:t xml:space="preserve"> se </w:t>
      </w:r>
      <w:proofErr w:type="spellStart"/>
      <w:r w:rsidRPr="00EE48FD">
        <w:rPr>
          <w:rFonts w:ascii="Times New Roman" w:eastAsia="Times New Roman" w:hAnsi="Times New Roman" w:cs="Times New Roman"/>
          <w:sz w:val="24"/>
          <w:szCs w:val="24"/>
          <w:lang w:eastAsia="en-GB"/>
        </w:rPr>
        <w:t>spušta</w:t>
      </w:r>
      <w:proofErr w:type="spellEnd"/>
      <w:r w:rsidRPr="00EE48FD">
        <w:rPr>
          <w:rFonts w:ascii="Times New Roman" w:eastAsia="Times New Roman" w:hAnsi="Times New Roman" w:cs="Times New Roman"/>
          <w:sz w:val="24"/>
          <w:szCs w:val="24"/>
          <w:lang w:eastAsia="en-GB"/>
        </w:rPr>
        <w:t xml:space="preserve"> </w:t>
      </w:r>
      <w:proofErr w:type="spellStart"/>
      <w:r w:rsidRPr="00EE48FD">
        <w:rPr>
          <w:rFonts w:ascii="Times New Roman" w:eastAsia="Times New Roman" w:hAnsi="Times New Roman" w:cs="Times New Roman"/>
          <w:sz w:val="24"/>
          <w:szCs w:val="24"/>
          <w:lang w:eastAsia="en-GB"/>
        </w:rPr>
        <w:t>južno</w:t>
      </w:r>
      <w:proofErr w:type="spellEnd"/>
      <w:r w:rsidRPr="00EE48FD">
        <w:rPr>
          <w:rFonts w:ascii="Times New Roman" w:eastAsia="Times New Roman" w:hAnsi="Times New Roman" w:cs="Times New Roman"/>
          <w:sz w:val="24"/>
          <w:szCs w:val="24"/>
          <w:lang w:eastAsia="en-GB"/>
        </w:rPr>
        <w:t xml:space="preserve"> </w:t>
      </w:r>
      <w:proofErr w:type="spellStart"/>
      <w:r w:rsidRPr="00EE48FD">
        <w:rPr>
          <w:rFonts w:ascii="Times New Roman" w:eastAsia="Times New Roman" w:hAnsi="Times New Roman" w:cs="Times New Roman"/>
          <w:sz w:val="24"/>
          <w:szCs w:val="24"/>
          <w:lang w:eastAsia="en-GB"/>
        </w:rPr>
        <w:t>Ulicom</w:t>
      </w:r>
      <w:proofErr w:type="spellEnd"/>
      <w:r w:rsidRPr="00EE48FD">
        <w:rPr>
          <w:rFonts w:ascii="Times New Roman" w:eastAsia="Times New Roman" w:hAnsi="Times New Roman" w:cs="Times New Roman"/>
          <w:sz w:val="24"/>
          <w:szCs w:val="24"/>
          <w:lang w:eastAsia="en-GB"/>
        </w:rPr>
        <w:t xml:space="preserve"> Veli Jože do </w:t>
      </w:r>
      <w:proofErr w:type="spellStart"/>
      <w:r w:rsidRPr="00EE48FD">
        <w:rPr>
          <w:rFonts w:ascii="Times New Roman" w:eastAsia="Times New Roman" w:hAnsi="Times New Roman" w:cs="Times New Roman"/>
          <w:sz w:val="24"/>
          <w:szCs w:val="24"/>
          <w:lang w:eastAsia="en-GB"/>
        </w:rPr>
        <w:t>raskrižja</w:t>
      </w:r>
      <w:proofErr w:type="spellEnd"/>
      <w:r w:rsidRPr="00EE48FD">
        <w:rPr>
          <w:rFonts w:ascii="Times New Roman" w:eastAsia="Times New Roman" w:hAnsi="Times New Roman" w:cs="Times New Roman"/>
          <w:sz w:val="24"/>
          <w:szCs w:val="24"/>
          <w:lang w:eastAsia="en-GB"/>
        </w:rPr>
        <w:t xml:space="preserve"> s </w:t>
      </w:r>
      <w:proofErr w:type="spellStart"/>
      <w:r w:rsidRPr="00EE48FD">
        <w:rPr>
          <w:rFonts w:ascii="Times New Roman" w:eastAsia="Times New Roman" w:hAnsi="Times New Roman" w:cs="Times New Roman"/>
          <w:sz w:val="24"/>
          <w:szCs w:val="24"/>
          <w:lang w:eastAsia="en-GB"/>
        </w:rPr>
        <w:t>Ulicom</w:t>
      </w:r>
      <w:proofErr w:type="spellEnd"/>
      <w:r w:rsidRPr="00EE48FD">
        <w:rPr>
          <w:rFonts w:ascii="Times New Roman" w:eastAsia="Times New Roman" w:hAnsi="Times New Roman" w:cs="Times New Roman"/>
          <w:sz w:val="24"/>
          <w:szCs w:val="24"/>
          <w:lang w:eastAsia="en-GB"/>
        </w:rPr>
        <w:t xml:space="preserve"> Joakima </w:t>
      </w:r>
      <w:proofErr w:type="spellStart"/>
      <w:r w:rsidRPr="00EE48FD">
        <w:rPr>
          <w:rFonts w:ascii="Times New Roman" w:eastAsia="Times New Roman" w:hAnsi="Times New Roman" w:cs="Times New Roman"/>
          <w:sz w:val="24"/>
          <w:szCs w:val="24"/>
          <w:lang w:eastAsia="en-GB"/>
        </w:rPr>
        <w:t>Rakovca</w:t>
      </w:r>
      <w:proofErr w:type="spellEnd"/>
      <w:r w:rsidRPr="00EE48FD">
        <w:rPr>
          <w:rFonts w:ascii="Times New Roman" w:eastAsia="Times New Roman" w:hAnsi="Times New Roman" w:cs="Times New Roman"/>
          <w:sz w:val="24"/>
          <w:szCs w:val="24"/>
          <w:lang w:eastAsia="en-GB"/>
        </w:rPr>
        <w:t xml:space="preserve">, </w:t>
      </w:r>
      <w:proofErr w:type="gramStart"/>
      <w:r w:rsidRPr="00EE48FD">
        <w:rPr>
          <w:rFonts w:ascii="Times New Roman" w:eastAsia="Times New Roman" w:hAnsi="Times New Roman" w:cs="Times New Roman"/>
          <w:sz w:val="24"/>
          <w:szCs w:val="24"/>
          <w:lang w:eastAsia="en-GB"/>
        </w:rPr>
        <w:t>a</w:t>
      </w:r>
      <w:proofErr w:type="gramEnd"/>
      <w:r w:rsidRPr="00EE48FD">
        <w:rPr>
          <w:rFonts w:ascii="Times New Roman" w:eastAsia="Times New Roman" w:hAnsi="Times New Roman" w:cs="Times New Roman"/>
          <w:sz w:val="24"/>
          <w:szCs w:val="24"/>
          <w:lang w:eastAsia="en-GB"/>
        </w:rPr>
        <w:t xml:space="preserve"> </w:t>
      </w:r>
      <w:proofErr w:type="spellStart"/>
      <w:r w:rsidRPr="00EE48FD">
        <w:rPr>
          <w:rFonts w:ascii="Times New Roman" w:eastAsia="Times New Roman" w:hAnsi="Times New Roman" w:cs="Times New Roman"/>
          <w:sz w:val="24"/>
          <w:szCs w:val="24"/>
          <w:lang w:eastAsia="en-GB"/>
        </w:rPr>
        <w:t>obuhvaća</w:t>
      </w:r>
      <w:proofErr w:type="spellEnd"/>
      <w:r w:rsidRPr="00EE48FD">
        <w:rPr>
          <w:rFonts w:ascii="Times New Roman" w:eastAsia="Times New Roman" w:hAnsi="Times New Roman" w:cs="Times New Roman"/>
          <w:sz w:val="24"/>
          <w:szCs w:val="24"/>
          <w:lang w:eastAsia="en-GB"/>
        </w:rPr>
        <w:t xml:space="preserve"> </w:t>
      </w:r>
      <w:proofErr w:type="spellStart"/>
      <w:r w:rsidRPr="00EE48FD">
        <w:rPr>
          <w:rFonts w:ascii="Times New Roman" w:eastAsia="Times New Roman" w:hAnsi="Times New Roman" w:cs="Times New Roman"/>
          <w:sz w:val="24"/>
          <w:szCs w:val="24"/>
          <w:lang w:eastAsia="en-GB"/>
        </w:rPr>
        <w:t>sve</w:t>
      </w:r>
      <w:proofErr w:type="spellEnd"/>
      <w:r w:rsidRPr="00EE48FD">
        <w:rPr>
          <w:rFonts w:ascii="Times New Roman" w:eastAsia="Times New Roman" w:hAnsi="Times New Roman" w:cs="Times New Roman"/>
          <w:sz w:val="24"/>
          <w:szCs w:val="24"/>
          <w:lang w:eastAsia="en-GB"/>
        </w:rPr>
        <w:t xml:space="preserve"> </w:t>
      </w:r>
      <w:proofErr w:type="spellStart"/>
      <w:r w:rsidRPr="00EE48FD">
        <w:rPr>
          <w:rFonts w:ascii="Times New Roman" w:eastAsia="Times New Roman" w:hAnsi="Times New Roman" w:cs="Times New Roman"/>
          <w:sz w:val="24"/>
          <w:szCs w:val="24"/>
          <w:lang w:eastAsia="en-GB"/>
        </w:rPr>
        <w:t>objekte</w:t>
      </w:r>
      <w:proofErr w:type="spellEnd"/>
      <w:r w:rsidRPr="00EE48FD">
        <w:rPr>
          <w:rFonts w:ascii="Times New Roman" w:eastAsia="Times New Roman" w:hAnsi="Times New Roman" w:cs="Times New Roman"/>
          <w:sz w:val="24"/>
          <w:szCs w:val="24"/>
          <w:lang w:eastAsia="en-GB"/>
        </w:rPr>
        <w:t xml:space="preserve"> </w:t>
      </w:r>
      <w:proofErr w:type="spellStart"/>
      <w:r w:rsidRPr="00EE48FD">
        <w:rPr>
          <w:rFonts w:ascii="Times New Roman" w:eastAsia="Times New Roman" w:hAnsi="Times New Roman" w:cs="Times New Roman"/>
          <w:sz w:val="24"/>
          <w:szCs w:val="24"/>
          <w:lang w:eastAsia="en-GB"/>
        </w:rPr>
        <w:t>istočno</w:t>
      </w:r>
      <w:proofErr w:type="spellEnd"/>
      <w:r w:rsidRPr="00EE48FD">
        <w:rPr>
          <w:rFonts w:ascii="Times New Roman" w:eastAsia="Times New Roman" w:hAnsi="Times New Roman" w:cs="Times New Roman"/>
          <w:sz w:val="24"/>
          <w:szCs w:val="24"/>
          <w:lang w:eastAsia="en-GB"/>
        </w:rPr>
        <w:t xml:space="preserve"> </w:t>
      </w:r>
      <w:proofErr w:type="spellStart"/>
      <w:r w:rsidRPr="00EE48FD">
        <w:rPr>
          <w:rFonts w:ascii="Times New Roman" w:eastAsia="Times New Roman" w:hAnsi="Times New Roman" w:cs="Times New Roman"/>
          <w:sz w:val="24"/>
          <w:szCs w:val="24"/>
          <w:lang w:eastAsia="en-GB"/>
        </w:rPr>
        <w:t>od</w:t>
      </w:r>
      <w:proofErr w:type="spellEnd"/>
      <w:r w:rsidRPr="00EE48FD">
        <w:rPr>
          <w:rFonts w:ascii="Times New Roman" w:eastAsia="Times New Roman" w:hAnsi="Times New Roman" w:cs="Times New Roman"/>
          <w:sz w:val="24"/>
          <w:szCs w:val="24"/>
          <w:lang w:eastAsia="en-GB"/>
        </w:rPr>
        <w:t xml:space="preserve"> Ulice Vele Jože,</w:t>
      </w:r>
    </w:p>
    <w:p w14:paraId="09F804BD" w14:textId="77777777" w:rsidR="00AE6314" w:rsidRPr="00EE48FD" w:rsidRDefault="00AE6314" w:rsidP="009F7D6D">
      <w:pPr>
        <w:shd w:val="clear" w:color="auto" w:fill="FFFFFF"/>
        <w:spacing w:after="0" w:line="240" w:lineRule="auto"/>
        <w:ind w:left="426" w:hanging="284"/>
        <w:jc w:val="both"/>
        <w:rPr>
          <w:rFonts w:ascii="Times New Roman" w:eastAsia="Times New Roman" w:hAnsi="Times New Roman" w:cs="Times New Roman"/>
          <w:sz w:val="24"/>
          <w:szCs w:val="24"/>
          <w:lang w:eastAsia="en-GB"/>
        </w:rPr>
      </w:pPr>
      <w:r w:rsidRPr="00EE48FD">
        <w:rPr>
          <w:rFonts w:ascii="Times New Roman" w:eastAsia="Times New Roman" w:hAnsi="Times New Roman" w:cs="Times New Roman"/>
          <w:sz w:val="24"/>
          <w:szCs w:val="24"/>
          <w:lang w:eastAsia="en-GB"/>
        </w:rPr>
        <w:t>-</w:t>
      </w:r>
      <w:r w:rsidRPr="00EE48FD">
        <w:rPr>
          <w:rFonts w:ascii="Times New Roman" w:eastAsia="Times New Roman" w:hAnsi="Times New Roman" w:cs="Times New Roman"/>
          <w:sz w:val="24"/>
          <w:szCs w:val="24"/>
          <w:lang w:eastAsia="en-GB"/>
        </w:rPr>
        <w:tab/>
      </w:r>
      <w:proofErr w:type="spellStart"/>
      <w:r w:rsidRPr="00EE48FD">
        <w:rPr>
          <w:rFonts w:ascii="Times New Roman" w:eastAsia="Times New Roman" w:hAnsi="Times New Roman" w:cs="Times New Roman"/>
          <w:sz w:val="24"/>
          <w:szCs w:val="24"/>
          <w:lang w:eastAsia="en-GB"/>
        </w:rPr>
        <w:t>zatim</w:t>
      </w:r>
      <w:proofErr w:type="spellEnd"/>
      <w:r w:rsidRPr="00EE48FD">
        <w:rPr>
          <w:rFonts w:ascii="Times New Roman" w:eastAsia="Times New Roman" w:hAnsi="Times New Roman" w:cs="Times New Roman"/>
          <w:sz w:val="24"/>
          <w:szCs w:val="24"/>
          <w:lang w:eastAsia="en-GB"/>
        </w:rPr>
        <w:t xml:space="preserve"> se </w:t>
      </w:r>
      <w:proofErr w:type="spellStart"/>
      <w:r w:rsidRPr="00EE48FD">
        <w:rPr>
          <w:rFonts w:ascii="Times New Roman" w:eastAsia="Times New Roman" w:hAnsi="Times New Roman" w:cs="Times New Roman"/>
          <w:sz w:val="24"/>
          <w:szCs w:val="24"/>
          <w:lang w:eastAsia="en-GB"/>
        </w:rPr>
        <w:t>nastavlja</w:t>
      </w:r>
      <w:proofErr w:type="spellEnd"/>
      <w:r w:rsidRPr="00EE48FD">
        <w:rPr>
          <w:rFonts w:ascii="Times New Roman" w:eastAsia="Times New Roman" w:hAnsi="Times New Roman" w:cs="Times New Roman"/>
          <w:sz w:val="24"/>
          <w:szCs w:val="24"/>
          <w:lang w:eastAsia="en-GB"/>
        </w:rPr>
        <w:t xml:space="preserve"> </w:t>
      </w:r>
      <w:proofErr w:type="spellStart"/>
      <w:r w:rsidRPr="00EE48FD">
        <w:rPr>
          <w:rFonts w:ascii="Times New Roman" w:eastAsia="Times New Roman" w:hAnsi="Times New Roman" w:cs="Times New Roman"/>
          <w:sz w:val="24"/>
          <w:szCs w:val="24"/>
          <w:lang w:eastAsia="en-GB"/>
        </w:rPr>
        <w:t>Ulicom</w:t>
      </w:r>
      <w:proofErr w:type="spellEnd"/>
      <w:r w:rsidRPr="00EE48FD">
        <w:rPr>
          <w:rFonts w:ascii="Times New Roman" w:eastAsia="Times New Roman" w:hAnsi="Times New Roman" w:cs="Times New Roman"/>
          <w:sz w:val="24"/>
          <w:szCs w:val="24"/>
          <w:lang w:eastAsia="en-GB"/>
        </w:rPr>
        <w:t xml:space="preserve"> Joakima </w:t>
      </w:r>
      <w:proofErr w:type="spellStart"/>
      <w:r w:rsidRPr="00EE48FD">
        <w:rPr>
          <w:rFonts w:ascii="Times New Roman" w:eastAsia="Times New Roman" w:hAnsi="Times New Roman" w:cs="Times New Roman"/>
          <w:sz w:val="24"/>
          <w:szCs w:val="24"/>
          <w:lang w:eastAsia="en-GB"/>
        </w:rPr>
        <w:t>Rakovca</w:t>
      </w:r>
      <w:proofErr w:type="spellEnd"/>
      <w:r w:rsidRPr="00EE48FD">
        <w:rPr>
          <w:rFonts w:ascii="Times New Roman" w:eastAsia="Times New Roman" w:hAnsi="Times New Roman" w:cs="Times New Roman"/>
          <w:sz w:val="24"/>
          <w:szCs w:val="24"/>
          <w:lang w:eastAsia="en-GB"/>
        </w:rPr>
        <w:t xml:space="preserve"> do </w:t>
      </w:r>
      <w:proofErr w:type="spellStart"/>
      <w:r w:rsidRPr="00EE48FD">
        <w:rPr>
          <w:rFonts w:ascii="Times New Roman" w:eastAsia="Times New Roman" w:hAnsi="Times New Roman" w:cs="Times New Roman"/>
          <w:sz w:val="24"/>
          <w:szCs w:val="24"/>
          <w:lang w:eastAsia="en-GB"/>
        </w:rPr>
        <w:t>raskrižja</w:t>
      </w:r>
      <w:proofErr w:type="spellEnd"/>
      <w:r w:rsidRPr="00EE48FD">
        <w:rPr>
          <w:rFonts w:ascii="Times New Roman" w:eastAsia="Times New Roman" w:hAnsi="Times New Roman" w:cs="Times New Roman"/>
          <w:sz w:val="24"/>
          <w:szCs w:val="24"/>
          <w:lang w:eastAsia="en-GB"/>
        </w:rPr>
        <w:t xml:space="preserve"> s </w:t>
      </w:r>
      <w:proofErr w:type="spellStart"/>
      <w:r w:rsidRPr="00EE48FD">
        <w:rPr>
          <w:rFonts w:ascii="Times New Roman" w:eastAsia="Times New Roman" w:hAnsi="Times New Roman" w:cs="Times New Roman"/>
          <w:sz w:val="24"/>
          <w:szCs w:val="24"/>
          <w:lang w:eastAsia="en-GB"/>
        </w:rPr>
        <w:t>Ulicom</w:t>
      </w:r>
      <w:proofErr w:type="spellEnd"/>
      <w:r w:rsidRPr="00EE48FD">
        <w:rPr>
          <w:rFonts w:ascii="Times New Roman" w:eastAsia="Times New Roman" w:hAnsi="Times New Roman" w:cs="Times New Roman"/>
          <w:sz w:val="24"/>
          <w:szCs w:val="24"/>
          <w:lang w:eastAsia="en-GB"/>
        </w:rPr>
        <w:t xml:space="preserve"> Nova cesta, </w:t>
      </w:r>
      <w:proofErr w:type="gramStart"/>
      <w:r w:rsidRPr="00EE48FD">
        <w:rPr>
          <w:rFonts w:ascii="Times New Roman" w:eastAsia="Times New Roman" w:hAnsi="Times New Roman" w:cs="Times New Roman"/>
          <w:sz w:val="24"/>
          <w:szCs w:val="24"/>
          <w:lang w:eastAsia="en-GB"/>
        </w:rPr>
        <w:t>a</w:t>
      </w:r>
      <w:proofErr w:type="gramEnd"/>
      <w:r w:rsidRPr="00EE48FD">
        <w:rPr>
          <w:rFonts w:ascii="Times New Roman" w:eastAsia="Times New Roman" w:hAnsi="Times New Roman" w:cs="Times New Roman"/>
          <w:sz w:val="24"/>
          <w:szCs w:val="24"/>
          <w:lang w:eastAsia="en-GB"/>
        </w:rPr>
        <w:t xml:space="preserve"> </w:t>
      </w:r>
      <w:proofErr w:type="spellStart"/>
      <w:r w:rsidRPr="00EE48FD">
        <w:rPr>
          <w:rFonts w:ascii="Times New Roman" w:eastAsia="Times New Roman" w:hAnsi="Times New Roman" w:cs="Times New Roman"/>
          <w:sz w:val="24"/>
          <w:szCs w:val="24"/>
          <w:lang w:eastAsia="en-GB"/>
        </w:rPr>
        <w:t>obuhvaća</w:t>
      </w:r>
      <w:proofErr w:type="spellEnd"/>
      <w:r w:rsidRPr="00EE48FD">
        <w:rPr>
          <w:rFonts w:ascii="Times New Roman" w:eastAsia="Times New Roman" w:hAnsi="Times New Roman" w:cs="Times New Roman"/>
          <w:sz w:val="24"/>
          <w:szCs w:val="24"/>
          <w:lang w:eastAsia="en-GB"/>
        </w:rPr>
        <w:t xml:space="preserve"> </w:t>
      </w:r>
      <w:proofErr w:type="spellStart"/>
      <w:r w:rsidRPr="00EE48FD">
        <w:rPr>
          <w:rFonts w:ascii="Times New Roman" w:eastAsia="Times New Roman" w:hAnsi="Times New Roman" w:cs="Times New Roman"/>
          <w:sz w:val="24"/>
          <w:szCs w:val="24"/>
          <w:lang w:eastAsia="en-GB"/>
        </w:rPr>
        <w:t>sve</w:t>
      </w:r>
      <w:proofErr w:type="spellEnd"/>
      <w:r w:rsidRPr="00EE48FD">
        <w:rPr>
          <w:rFonts w:ascii="Times New Roman" w:eastAsia="Times New Roman" w:hAnsi="Times New Roman" w:cs="Times New Roman"/>
          <w:sz w:val="24"/>
          <w:szCs w:val="24"/>
          <w:lang w:eastAsia="en-GB"/>
        </w:rPr>
        <w:t xml:space="preserve"> </w:t>
      </w:r>
      <w:proofErr w:type="spellStart"/>
      <w:r w:rsidRPr="00EE48FD">
        <w:rPr>
          <w:rFonts w:ascii="Times New Roman" w:eastAsia="Times New Roman" w:hAnsi="Times New Roman" w:cs="Times New Roman"/>
          <w:sz w:val="24"/>
          <w:szCs w:val="24"/>
          <w:lang w:eastAsia="en-GB"/>
        </w:rPr>
        <w:t>objekte</w:t>
      </w:r>
      <w:proofErr w:type="spellEnd"/>
      <w:r w:rsidRPr="00EE48FD">
        <w:rPr>
          <w:rFonts w:ascii="Times New Roman" w:eastAsia="Times New Roman" w:hAnsi="Times New Roman" w:cs="Times New Roman"/>
          <w:sz w:val="24"/>
          <w:szCs w:val="24"/>
          <w:lang w:eastAsia="en-GB"/>
        </w:rPr>
        <w:t xml:space="preserve"> </w:t>
      </w:r>
      <w:proofErr w:type="spellStart"/>
      <w:r w:rsidRPr="00EE48FD">
        <w:rPr>
          <w:rFonts w:ascii="Times New Roman" w:eastAsia="Times New Roman" w:hAnsi="Times New Roman" w:cs="Times New Roman"/>
          <w:sz w:val="24"/>
          <w:szCs w:val="24"/>
          <w:lang w:eastAsia="en-GB"/>
        </w:rPr>
        <w:t>ispod</w:t>
      </w:r>
      <w:proofErr w:type="spellEnd"/>
      <w:r w:rsidRPr="00EE48FD">
        <w:rPr>
          <w:rFonts w:ascii="Times New Roman" w:eastAsia="Times New Roman" w:hAnsi="Times New Roman" w:cs="Times New Roman"/>
          <w:sz w:val="24"/>
          <w:szCs w:val="24"/>
          <w:lang w:eastAsia="en-GB"/>
        </w:rPr>
        <w:t xml:space="preserve"> (</w:t>
      </w:r>
      <w:proofErr w:type="spellStart"/>
      <w:r w:rsidRPr="00EE48FD">
        <w:rPr>
          <w:rFonts w:ascii="Times New Roman" w:eastAsia="Times New Roman" w:hAnsi="Times New Roman" w:cs="Times New Roman"/>
          <w:sz w:val="24"/>
          <w:szCs w:val="24"/>
          <w:lang w:eastAsia="en-GB"/>
        </w:rPr>
        <w:t>istočno</w:t>
      </w:r>
      <w:proofErr w:type="spellEnd"/>
      <w:r w:rsidRPr="00EE48FD">
        <w:rPr>
          <w:rFonts w:ascii="Times New Roman" w:eastAsia="Times New Roman" w:hAnsi="Times New Roman" w:cs="Times New Roman"/>
          <w:sz w:val="24"/>
          <w:szCs w:val="24"/>
          <w:lang w:eastAsia="en-GB"/>
        </w:rPr>
        <w:t>) Ulice Joakima Rakovca,</w:t>
      </w:r>
    </w:p>
    <w:p w14:paraId="0ADA8754" w14:textId="77777777" w:rsidR="00AE6314" w:rsidRPr="00EE48FD" w:rsidRDefault="00AE6314" w:rsidP="009F7D6D">
      <w:pPr>
        <w:shd w:val="clear" w:color="auto" w:fill="FFFFFF"/>
        <w:spacing w:after="0" w:line="240" w:lineRule="auto"/>
        <w:ind w:left="426" w:hanging="284"/>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w:t>
      </w:r>
      <w:r w:rsidRPr="00EE48FD">
        <w:rPr>
          <w:rFonts w:ascii="Times New Roman" w:eastAsia="Times New Roman" w:hAnsi="Times New Roman" w:cs="Times New Roman"/>
          <w:sz w:val="24"/>
          <w:szCs w:val="24"/>
          <w:lang w:val="pl-PL" w:eastAsia="en-GB"/>
        </w:rPr>
        <w:tab/>
        <w:t>zatim se nastavlja Ulicom Nova cesta do raskrižja s Ulicom Maršala Tita,a obuhvaća sve objekte ispod Ulice Nova cesta,</w:t>
      </w:r>
    </w:p>
    <w:p w14:paraId="7C864B9F" w14:textId="77777777" w:rsidR="00AE6314" w:rsidRPr="00EE48FD" w:rsidRDefault="00AE6314" w:rsidP="009F7D6D">
      <w:pPr>
        <w:shd w:val="clear" w:color="auto" w:fill="FFFFFF"/>
        <w:spacing w:after="0" w:line="240" w:lineRule="auto"/>
        <w:ind w:left="426" w:hanging="284"/>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lastRenderedPageBreak/>
        <w:t>-</w:t>
      </w:r>
      <w:r w:rsidRPr="00EE48FD">
        <w:rPr>
          <w:rFonts w:ascii="Times New Roman" w:eastAsia="Times New Roman" w:hAnsi="Times New Roman" w:cs="Times New Roman"/>
          <w:sz w:val="24"/>
          <w:szCs w:val="24"/>
          <w:lang w:val="pl-PL" w:eastAsia="en-GB"/>
        </w:rPr>
        <w:tab/>
        <w:t>zatim se nastavlja Ulicom Maršala Tita do Liburnijske ulice te obuhvaća sve objekte s adresom ulica Maršala Tita.</w:t>
      </w:r>
    </w:p>
    <w:p w14:paraId="4710161C" w14:textId="77777777" w:rsidR="00AE6314" w:rsidRPr="00EE48FD" w:rsidRDefault="00AE6314" w:rsidP="00AE6314">
      <w:pPr>
        <w:shd w:val="clear" w:color="auto" w:fill="FFFFFF"/>
        <w:spacing w:after="0" w:line="240" w:lineRule="auto"/>
        <w:jc w:val="both"/>
        <w:rPr>
          <w:rFonts w:ascii="Times New Roman" w:eastAsia="Times New Roman" w:hAnsi="Times New Roman" w:cs="Times New Roman"/>
          <w:sz w:val="24"/>
          <w:szCs w:val="24"/>
          <w:lang w:val="pl-PL" w:eastAsia="en-GB"/>
        </w:rPr>
      </w:pPr>
    </w:p>
    <w:p w14:paraId="104D0B17" w14:textId="77777777" w:rsidR="00AE6314" w:rsidRPr="00EE48FD" w:rsidRDefault="00AE6314" w:rsidP="00AE6314">
      <w:pPr>
        <w:shd w:val="clear" w:color="auto" w:fill="FFFFFF"/>
        <w:spacing w:after="0" w:line="240" w:lineRule="auto"/>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b/>
          <w:bCs/>
          <w:sz w:val="24"/>
          <w:szCs w:val="24"/>
          <w:lang w:val="pl-PL" w:eastAsia="en-GB"/>
        </w:rPr>
        <w:t>2) ZONA II</w:t>
      </w:r>
      <w:r w:rsidRPr="00EE48FD">
        <w:rPr>
          <w:rFonts w:ascii="Times New Roman" w:eastAsia="Times New Roman" w:hAnsi="Times New Roman" w:cs="Times New Roman"/>
          <w:sz w:val="24"/>
          <w:szCs w:val="24"/>
          <w:lang w:val="pl-PL" w:eastAsia="en-GB"/>
        </w:rPr>
        <w:t>:</w:t>
      </w:r>
    </w:p>
    <w:p w14:paraId="76AF24D4" w14:textId="77777777" w:rsidR="00AE6314" w:rsidRPr="00EE48FD" w:rsidRDefault="00AE6314" w:rsidP="009F7D6D">
      <w:pPr>
        <w:shd w:val="clear" w:color="auto" w:fill="FFFFFF"/>
        <w:spacing w:after="0" w:line="240" w:lineRule="auto"/>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Obuhvaća područje dijela naselja Ičići i Ika od obalne linije do granice područja koja sjeverozapadnim dijelom ide:</w:t>
      </w:r>
    </w:p>
    <w:p w14:paraId="3824D10D" w14:textId="77777777" w:rsidR="00AE6314" w:rsidRPr="00EE48FD" w:rsidRDefault="00AE6314" w:rsidP="00AE6314">
      <w:pPr>
        <w:shd w:val="clear" w:color="auto" w:fill="FFFFFF"/>
        <w:spacing w:after="0" w:line="240" w:lineRule="auto"/>
        <w:ind w:left="426" w:hanging="284"/>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w:t>
      </w:r>
      <w:r w:rsidRPr="00EE48FD">
        <w:rPr>
          <w:rFonts w:ascii="Times New Roman" w:eastAsia="Times New Roman" w:hAnsi="Times New Roman" w:cs="Times New Roman"/>
          <w:sz w:val="24"/>
          <w:szCs w:val="24"/>
          <w:lang w:val="pl-PL" w:eastAsia="en-GB"/>
        </w:rPr>
        <w:tab/>
        <w:t xml:space="preserve">Liburnijskom ulicom u naselju Ičići, uključivo sve objekte s adresom u Liburnijskoj ulici te objekt na adresi A,Dminaka 2A. </w:t>
      </w:r>
    </w:p>
    <w:p w14:paraId="7774B942" w14:textId="77777777" w:rsidR="00AE6314" w:rsidRPr="00EE48FD" w:rsidRDefault="00AE6314" w:rsidP="00AE6314">
      <w:pPr>
        <w:shd w:val="clear" w:color="auto" w:fill="FFFFFF"/>
        <w:spacing w:after="0" w:line="240" w:lineRule="auto"/>
        <w:ind w:left="426" w:hanging="284"/>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w:t>
      </w:r>
      <w:r w:rsidRPr="00EE48FD">
        <w:rPr>
          <w:rFonts w:ascii="Times New Roman" w:eastAsia="Times New Roman" w:hAnsi="Times New Roman" w:cs="Times New Roman"/>
          <w:sz w:val="24"/>
          <w:szCs w:val="24"/>
          <w:lang w:val="pl-PL" w:eastAsia="en-GB"/>
        </w:rPr>
        <w:tab/>
        <w:t>Primorskom ulicom u naselju Ika, uključivo sve objekte s adresom u Primorskoj ulici,</w:t>
      </w:r>
      <w:r w:rsidRPr="00EE48FD">
        <w:rPr>
          <w:rFonts w:ascii="Times New Roman" w:eastAsia="Times New Roman" w:hAnsi="Times New Roman" w:cs="Times New Roman"/>
          <w:sz w:val="24"/>
          <w:szCs w:val="24"/>
          <w:lang w:val="pl-PL" w:eastAsia="en-GB"/>
        </w:rPr>
        <w:tab/>
      </w:r>
    </w:p>
    <w:p w14:paraId="53F41B80" w14:textId="77777777" w:rsidR="00AE6314" w:rsidRPr="00EE48FD" w:rsidRDefault="00AE6314" w:rsidP="00AE6314">
      <w:pPr>
        <w:shd w:val="clear" w:color="auto" w:fill="FFFFFF"/>
        <w:spacing w:after="0" w:line="240" w:lineRule="auto"/>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b/>
          <w:bCs/>
          <w:sz w:val="24"/>
          <w:szCs w:val="24"/>
          <w:lang w:val="pl-PL" w:eastAsia="en-GB"/>
        </w:rPr>
        <w:t>3) ZONA III</w:t>
      </w:r>
      <w:r w:rsidRPr="00EE48FD">
        <w:rPr>
          <w:rFonts w:ascii="Times New Roman" w:eastAsia="Times New Roman" w:hAnsi="Times New Roman" w:cs="Times New Roman"/>
          <w:sz w:val="24"/>
          <w:szCs w:val="24"/>
          <w:lang w:val="pl-PL" w:eastAsia="en-GB"/>
        </w:rPr>
        <w:t xml:space="preserve"> </w:t>
      </w:r>
    </w:p>
    <w:p w14:paraId="56CFE786" w14:textId="77777777" w:rsidR="00AE6314" w:rsidRPr="00EE48FD" w:rsidRDefault="00AE6314" w:rsidP="00AE6314">
      <w:pPr>
        <w:shd w:val="clear" w:color="auto" w:fill="FFFFFF"/>
        <w:spacing w:after="0" w:line="240" w:lineRule="auto"/>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Obuhvaća dio područja naselja Opatija iznad (sjeverozapadno) područja ZONE 1, do granica s Općinom Matulji, naseljima Pobri, Ičići i Veprinac,</w:t>
      </w:r>
    </w:p>
    <w:p w14:paraId="00F1DA59" w14:textId="77777777" w:rsidR="00AE6314" w:rsidRPr="00EE48FD" w:rsidRDefault="00AE6314" w:rsidP="00AE6314">
      <w:pPr>
        <w:shd w:val="clear" w:color="auto" w:fill="FFFFFF"/>
        <w:spacing w:after="0" w:line="240" w:lineRule="auto"/>
        <w:jc w:val="both"/>
        <w:rPr>
          <w:rFonts w:ascii="Times New Roman" w:eastAsia="Times New Roman" w:hAnsi="Times New Roman" w:cs="Times New Roman"/>
          <w:sz w:val="24"/>
          <w:szCs w:val="24"/>
          <w:lang w:val="pl-PL" w:eastAsia="en-GB"/>
        </w:rPr>
      </w:pPr>
    </w:p>
    <w:p w14:paraId="59523390" w14:textId="77777777" w:rsidR="00AE6314" w:rsidRPr="00EE48FD" w:rsidRDefault="00AE6314" w:rsidP="00AE6314">
      <w:pPr>
        <w:shd w:val="clear" w:color="auto" w:fill="FFFFFF"/>
        <w:spacing w:after="0" w:line="240" w:lineRule="auto"/>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b/>
          <w:bCs/>
          <w:sz w:val="24"/>
          <w:szCs w:val="24"/>
          <w:lang w:val="pl-PL" w:eastAsia="en-GB"/>
        </w:rPr>
        <w:t>4) ZONA IV</w:t>
      </w:r>
      <w:r w:rsidRPr="00EE48FD">
        <w:rPr>
          <w:rFonts w:ascii="Times New Roman" w:eastAsia="Times New Roman" w:hAnsi="Times New Roman" w:cs="Times New Roman"/>
          <w:sz w:val="24"/>
          <w:szCs w:val="24"/>
          <w:lang w:val="pl-PL" w:eastAsia="en-GB"/>
        </w:rPr>
        <w:t>:</w:t>
      </w:r>
    </w:p>
    <w:p w14:paraId="41911419" w14:textId="77777777" w:rsidR="00AE6314" w:rsidRPr="00EE48FD" w:rsidRDefault="00AE6314" w:rsidP="00AE6314">
      <w:pPr>
        <w:shd w:val="clear" w:color="auto" w:fill="FFFFFF"/>
        <w:spacing w:after="0" w:line="240" w:lineRule="auto"/>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 xml:space="preserve">Obuhvaća dio područja naselja Ičići i naselja Ika iznad (sjeverozapadno) područja ZONE 2, do granica s naseljima Poljane, Veprinac i Oprič, </w:t>
      </w:r>
    </w:p>
    <w:p w14:paraId="2C61F349" w14:textId="77777777" w:rsidR="00CD7853" w:rsidRPr="00EE48FD" w:rsidRDefault="00CD7853" w:rsidP="008C2837">
      <w:pPr>
        <w:shd w:val="clear" w:color="auto" w:fill="FFFFFF"/>
        <w:spacing w:after="0" w:line="240" w:lineRule="auto"/>
        <w:jc w:val="both"/>
        <w:rPr>
          <w:rFonts w:ascii="Times New Roman" w:eastAsia="Times New Roman" w:hAnsi="Times New Roman" w:cs="Times New Roman"/>
          <w:sz w:val="24"/>
          <w:szCs w:val="24"/>
          <w:lang w:val="pl-PL" w:eastAsia="en-GB"/>
        </w:rPr>
      </w:pPr>
    </w:p>
    <w:p w14:paraId="65C61794" w14:textId="77777777" w:rsidR="00CD7853" w:rsidRPr="00EE48FD" w:rsidRDefault="008C2837" w:rsidP="008C2837">
      <w:pPr>
        <w:shd w:val="clear" w:color="auto" w:fill="FFFFFF"/>
        <w:spacing w:after="0" w:line="240" w:lineRule="auto"/>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b/>
          <w:bCs/>
          <w:sz w:val="24"/>
          <w:szCs w:val="24"/>
          <w:lang w:val="pl-PL" w:eastAsia="en-GB"/>
        </w:rPr>
        <w:t>5) ZONA V</w:t>
      </w:r>
      <w:r w:rsidRPr="00EE48FD">
        <w:rPr>
          <w:rFonts w:ascii="Times New Roman" w:eastAsia="Times New Roman" w:hAnsi="Times New Roman" w:cs="Times New Roman"/>
          <w:sz w:val="24"/>
          <w:szCs w:val="24"/>
          <w:lang w:val="pl-PL" w:eastAsia="en-GB"/>
        </w:rPr>
        <w:t xml:space="preserve"> </w:t>
      </w:r>
    </w:p>
    <w:p w14:paraId="1D8D43C8" w14:textId="7B837482" w:rsidR="008C2837" w:rsidRPr="00EE48FD" w:rsidRDefault="00CD7853" w:rsidP="008C2837">
      <w:pPr>
        <w:shd w:val="clear" w:color="auto" w:fill="FFFFFF"/>
        <w:spacing w:after="0" w:line="240" w:lineRule="auto"/>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Obuhvaća područje naselja Oprič i Pobri,</w:t>
      </w:r>
    </w:p>
    <w:p w14:paraId="7F65A625" w14:textId="77777777" w:rsidR="00CD7853" w:rsidRPr="00EE48FD" w:rsidRDefault="00CD7853" w:rsidP="008C2837">
      <w:pPr>
        <w:shd w:val="clear" w:color="auto" w:fill="FFFFFF"/>
        <w:spacing w:after="0" w:line="240" w:lineRule="auto"/>
        <w:jc w:val="both"/>
        <w:rPr>
          <w:rFonts w:ascii="Times New Roman" w:eastAsia="Times New Roman" w:hAnsi="Times New Roman" w:cs="Times New Roman"/>
          <w:sz w:val="24"/>
          <w:szCs w:val="24"/>
          <w:lang w:val="pl-PL" w:eastAsia="en-GB"/>
        </w:rPr>
      </w:pPr>
    </w:p>
    <w:p w14:paraId="2BC1CA5B" w14:textId="77777777" w:rsidR="00CD7853" w:rsidRPr="00EE48FD" w:rsidRDefault="008C2837" w:rsidP="008C2837">
      <w:pPr>
        <w:shd w:val="clear" w:color="auto" w:fill="FFFFFF"/>
        <w:spacing w:after="0" w:line="240" w:lineRule="auto"/>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b/>
          <w:bCs/>
          <w:sz w:val="24"/>
          <w:szCs w:val="24"/>
          <w:lang w:val="pl-PL" w:eastAsia="en-GB"/>
        </w:rPr>
        <w:t>6) ZONA VI</w:t>
      </w:r>
      <w:r w:rsidR="00CD7853" w:rsidRPr="00EE48FD">
        <w:rPr>
          <w:rFonts w:ascii="Times New Roman" w:eastAsia="Times New Roman" w:hAnsi="Times New Roman" w:cs="Times New Roman"/>
          <w:sz w:val="24"/>
          <w:szCs w:val="24"/>
          <w:lang w:val="pl-PL" w:eastAsia="en-GB"/>
        </w:rPr>
        <w:t>:</w:t>
      </w:r>
    </w:p>
    <w:p w14:paraId="4F6E1F9B" w14:textId="296E5B92" w:rsidR="008C2837" w:rsidRPr="00EE48FD" w:rsidRDefault="00CD7853" w:rsidP="008C2837">
      <w:pPr>
        <w:shd w:val="clear" w:color="auto" w:fill="FFFFFF"/>
        <w:spacing w:after="0" w:line="240" w:lineRule="auto"/>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Obuhvaća područje naselja Poljane, Veprinac i Dobreć</w:t>
      </w:r>
      <w:r w:rsidR="008C2837" w:rsidRPr="00EE48FD">
        <w:rPr>
          <w:rFonts w:ascii="Times New Roman" w:eastAsia="Times New Roman" w:hAnsi="Times New Roman" w:cs="Times New Roman"/>
          <w:sz w:val="24"/>
          <w:szCs w:val="24"/>
          <w:lang w:val="pl-PL" w:eastAsia="en-GB"/>
        </w:rPr>
        <w:t>,</w:t>
      </w:r>
    </w:p>
    <w:p w14:paraId="59EA84F3" w14:textId="77777777" w:rsidR="00CD7853" w:rsidRPr="00EE48FD" w:rsidRDefault="00CD7853" w:rsidP="008C2837">
      <w:pPr>
        <w:shd w:val="clear" w:color="auto" w:fill="FFFFFF"/>
        <w:spacing w:after="0" w:line="240" w:lineRule="auto"/>
        <w:jc w:val="both"/>
        <w:rPr>
          <w:rFonts w:ascii="Times New Roman" w:eastAsia="Times New Roman" w:hAnsi="Times New Roman" w:cs="Times New Roman"/>
          <w:sz w:val="24"/>
          <w:szCs w:val="24"/>
          <w:lang w:val="pl-PL" w:eastAsia="en-GB"/>
        </w:rPr>
      </w:pPr>
    </w:p>
    <w:p w14:paraId="1F87EDC1" w14:textId="59223EB4" w:rsidR="00CD7853" w:rsidRPr="00EE48FD" w:rsidRDefault="008C2837" w:rsidP="008C2837">
      <w:pPr>
        <w:shd w:val="clear" w:color="auto" w:fill="FFFFFF"/>
        <w:spacing w:after="0" w:line="240" w:lineRule="auto"/>
        <w:jc w:val="both"/>
        <w:rPr>
          <w:rFonts w:ascii="Times New Roman" w:eastAsia="Times New Roman" w:hAnsi="Times New Roman" w:cs="Times New Roman"/>
          <w:b/>
          <w:bCs/>
          <w:sz w:val="24"/>
          <w:szCs w:val="24"/>
          <w:lang w:val="pl-PL" w:eastAsia="en-GB"/>
        </w:rPr>
      </w:pPr>
      <w:r w:rsidRPr="00EE48FD">
        <w:rPr>
          <w:rFonts w:ascii="Times New Roman" w:eastAsia="Times New Roman" w:hAnsi="Times New Roman" w:cs="Times New Roman"/>
          <w:b/>
          <w:bCs/>
          <w:sz w:val="24"/>
          <w:szCs w:val="24"/>
          <w:lang w:val="pl-PL" w:eastAsia="en-GB"/>
        </w:rPr>
        <w:t>7) ZONA VII</w:t>
      </w:r>
      <w:r w:rsidR="002175AE" w:rsidRPr="00EE48FD">
        <w:rPr>
          <w:rFonts w:ascii="Times New Roman" w:eastAsia="Times New Roman" w:hAnsi="Times New Roman" w:cs="Times New Roman"/>
          <w:b/>
          <w:bCs/>
          <w:sz w:val="24"/>
          <w:szCs w:val="24"/>
          <w:lang w:val="pl-PL" w:eastAsia="en-GB"/>
        </w:rPr>
        <w:t>:</w:t>
      </w:r>
    </w:p>
    <w:p w14:paraId="1C684B06" w14:textId="4EF12B67" w:rsidR="008C2837" w:rsidRPr="00EE48FD" w:rsidRDefault="00CD7853" w:rsidP="008C2837">
      <w:pPr>
        <w:shd w:val="clear" w:color="auto" w:fill="FFFFFF"/>
        <w:spacing w:after="0" w:line="240" w:lineRule="auto"/>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Obuhvaća područje naselja Vela i Mala Učka.</w:t>
      </w:r>
    </w:p>
    <w:p w14:paraId="2BACB49A" w14:textId="77777777" w:rsidR="00CD7853" w:rsidRPr="00EE48FD" w:rsidRDefault="00CD7853" w:rsidP="008C2837">
      <w:pPr>
        <w:shd w:val="clear" w:color="auto" w:fill="FFFFFF"/>
        <w:spacing w:after="0" w:line="240" w:lineRule="auto"/>
        <w:rPr>
          <w:rFonts w:ascii="Times New Roman" w:eastAsia="Times New Roman" w:hAnsi="Times New Roman" w:cs="Times New Roman"/>
          <w:strike/>
          <w:sz w:val="24"/>
          <w:szCs w:val="24"/>
          <w:lang w:val="pl-PL" w:eastAsia="en-GB"/>
        </w:rPr>
      </w:pPr>
    </w:p>
    <w:p w14:paraId="6812E850" w14:textId="77777777" w:rsidR="008C2837" w:rsidRPr="00EE48FD" w:rsidRDefault="008C2837" w:rsidP="008C2837">
      <w:pPr>
        <w:shd w:val="clear" w:color="auto" w:fill="FFFFFF"/>
        <w:spacing w:after="0" w:line="240" w:lineRule="auto"/>
        <w:jc w:val="center"/>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Članak 3.</w:t>
      </w:r>
    </w:p>
    <w:p w14:paraId="38673BAD" w14:textId="77777777" w:rsidR="008C2837" w:rsidRPr="00EE48FD" w:rsidRDefault="008C2837" w:rsidP="008C2837">
      <w:pPr>
        <w:shd w:val="clear" w:color="auto" w:fill="FFFFFF"/>
        <w:spacing w:after="0" w:line="240" w:lineRule="auto"/>
        <w:jc w:val="center"/>
        <w:rPr>
          <w:rFonts w:ascii="Times New Roman" w:eastAsia="Times New Roman" w:hAnsi="Times New Roman" w:cs="Times New Roman"/>
          <w:sz w:val="24"/>
          <w:szCs w:val="24"/>
          <w:lang w:val="pl-PL" w:eastAsia="en-GB"/>
        </w:rPr>
      </w:pPr>
    </w:p>
    <w:p w14:paraId="6B6923ED" w14:textId="77777777" w:rsidR="008C2837" w:rsidRPr="00EE48FD" w:rsidRDefault="008C2837" w:rsidP="008C2837">
      <w:pPr>
        <w:shd w:val="clear" w:color="auto" w:fill="FFFFFF"/>
        <w:spacing w:after="0" w:line="240" w:lineRule="auto"/>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Za zone iz članka 2. ove Odluke utvrđuju se sljedeći koeficijenti zona (Kz):</w:t>
      </w:r>
    </w:p>
    <w:p w14:paraId="3B943143" w14:textId="77777777" w:rsidR="008C2837" w:rsidRPr="00EE48FD" w:rsidRDefault="008C2837" w:rsidP="008C2837">
      <w:pPr>
        <w:shd w:val="clear" w:color="auto" w:fill="FFFFFF"/>
        <w:spacing w:after="0" w:line="240" w:lineRule="auto"/>
        <w:rPr>
          <w:rFonts w:ascii="Times New Roman" w:eastAsia="Times New Roman" w:hAnsi="Times New Roman" w:cs="Times New Roman"/>
          <w:sz w:val="24"/>
          <w:szCs w:val="24"/>
          <w:lang w:val="pl-PL" w:eastAsia="en-GB"/>
        </w:rPr>
      </w:pPr>
    </w:p>
    <w:tbl>
      <w:tblPr>
        <w:tblStyle w:val="Reetkatablice1"/>
        <w:tblW w:w="0" w:type="auto"/>
        <w:jc w:val="center"/>
        <w:tblInd w:w="0" w:type="dxa"/>
        <w:tblLook w:val="04A0" w:firstRow="1" w:lastRow="0" w:firstColumn="1" w:lastColumn="0" w:noHBand="0" w:noVBand="1"/>
      </w:tblPr>
      <w:tblGrid>
        <w:gridCol w:w="1271"/>
        <w:gridCol w:w="2410"/>
        <w:gridCol w:w="2268"/>
      </w:tblGrid>
      <w:tr w:rsidR="00AE6314" w:rsidRPr="00EE48FD" w14:paraId="3B704852" w14:textId="77777777">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3F329C0D" w14:textId="77777777" w:rsidR="008C2837" w:rsidRPr="00EE48FD" w:rsidRDefault="008C2837" w:rsidP="008C2837">
            <w:pPr>
              <w:spacing w:line="240" w:lineRule="auto"/>
              <w:jc w:val="center"/>
              <w:rPr>
                <w:rFonts w:ascii="Times New Roman" w:eastAsia="Times New Roman" w:hAnsi="Times New Roman"/>
                <w:sz w:val="24"/>
                <w:szCs w:val="24"/>
                <w:lang w:val="hr-HR"/>
              </w:rPr>
            </w:pPr>
            <w:r w:rsidRPr="00EE48FD">
              <w:rPr>
                <w:rFonts w:ascii="Times New Roman" w:eastAsia="Times New Roman" w:hAnsi="Times New Roman"/>
                <w:sz w:val="24"/>
                <w:szCs w:val="24"/>
                <w:lang w:val="hr-HR"/>
              </w:rPr>
              <w:t>Redni broj</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39967DB" w14:textId="77777777" w:rsidR="008C2837" w:rsidRPr="00EE48FD" w:rsidRDefault="008C2837" w:rsidP="008C2837">
            <w:pPr>
              <w:spacing w:line="240" w:lineRule="auto"/>
              <w:jc w:val="center"/>
              <w:rPr>
                <w:rFonts w:ascii="Times New Roman" w:eastAsia="Times New Roman" w:hAnsi="Times New Roman"/>
                <w:sz w:val="24"/>
                <w:szCs w:val="24"/>
                <w:lang w:val="hr-HR"/>
              </w:rPr>
            </w:pPr>
            <w:r w:rsidRPr="00EE48FD">
              <w:rPr>
                <w:rFonts w:ascii="Times New Roman" w:eastAsia="Times New Roman" w:hAnsi="Times New Roman"/>
                <w:sz w:val="24"/>
                <w:szCs w:val="24"/>
                <w:lang w:val="hr-HR"/>
              </w:rPr>
              <w:t>Naziv zone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F31FAD2" w14:textId="77777777" w:rsidR="008C2837" w:rsidRPr="00EE48FD" w:rsidRDefault="008C2837" w:rsidP="008C2837">
            <w:pPr>
              <w:spacing w:line="240" w:lineRule="auto"/>
              <w:jc w:val="center"/>
              <w:rPr>
                <w:rFonts w:ascii="Times New Roman" w:eastAsia="Times New Roman" w:hAnsi="Times New Roman"/>
                <w:sz w:val="24"/>
                <w:szCs w:val="24"/>
                <w:lang w:val="hr-HR"/>
              </w:rPr>
            </w:pPr>
            <w:r w:rsidRPr="00EE48FD">
              <w:rPr>
                <w:rFonts w:ascii="Times New Roman" w:eastAsia="Times New Roman" w:hAnsi="Times New Roman"/>
                <w:sz w:val="24"/>
                <w:szCs w:val="24"/>
                <w:lang w:val="hr-HR"/>
              </w:rPr>
              <w:t>Koeficijent zone (</w:t>
            </w:r>
            <w:proofErr w:type="spellStart"/>
            <w:r w:rsidRPr="00EE48FD">
              <w:rPr>
                <w:rFonts w:ascii="Times New Roman" w:eastAsia="Times New Roman" w:hAnsi="Times New Roman"/>
                <w:sz w:val="24"/>
                <w:szCs w:val="24"/>
                <w:lang w:val="hr-HR"/>
              </w:rPr>
              <w:t>Kz</w:t>
            </w:r>
            <w:proofErr w:type="spellEnd"/>
            <w:r w:rsidRPr="00EE48FD">
              <w:rPr>
                <w:rFonts w:ascii="Times New Roman" w:eastAsia="Times New Roman" w:hAnsi="Times New Roman"/>
                <w:sz w:val="24"/>
                <w:szCs w:val="24"/>
                <w:lang w:val="hr-HR"/>
              </w:rPr>
              <w:t>)</w:t>
            </w:r>
          </w:p>
        </w:tc>
      </w:tr>
      <w:tr w:rsidR="00AE6314" w:rsidRPr="00EE48FD" w14:paraId="7A1A0C57" w14:textId="77777777">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5D933958" w14:textId="77777777" w:rsidR="008C2837" w:rsidRPr="00EE48FD" w:rsidRDefault="008C2837" w:rsidP="008C2837">
            <w:pPr>
              <w:spacing w:line="240" w:lineRule="auto"/>
              <w:jc w:val="center"/>
              <w:rPr>
                <w:rFonts w:ascii="Times New Roman" w:eastAsia="Times New Roman" w:hAnsi="Times New Roman"/>
                <w:sz w:val="24"/>
                <w:szCs w:val="24"/>
                <w:lang w:val="hr-HR"/>
              </w:rPr>
            </w:pPr>
            <w:r w:rsidRPr="00EE48FD">
              <w:rPr>
                <w:rFonts w:ascii="Times New Roman" w:eastAsia="Times New Roman" w:hAnsi="Times New Roman"/>
                <w:sz w:val="24"/>
                <w:szCs w:val="24"/>
                <w:lang w:val="hr-HR"/>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40BD0B6" w14:textId="77777777" w:rsidR="008C2837" w:rsidRPr="00EE48FD" w:rsidRDefault="008C2837" w:rsidP="008C2837">
            <w:pPr>
              <w:spacing w:line="240" w:lineRule="auto"/>
              <w:jc w:val="center"/>
              <w:rPr>
                <w:rFonts w:ascii="Times New Roman" w:eastAsia="Times New Roman" w:hAnsi="Times New Roman"/>
                <w:sz w:val="24"/>
                <w:szCs w:val="24"/>
                <w:lang w:val="hr-HR"/>
              </w:rPr>
            </w:pPr>
            <w:r w:rsidRPr="00EE48FD">
              <w:rPr>
                <w:rFonts w:ascii="Times New Roman" w:eastAsia="Times New Roman" w:hAnsi="Times New Roman"/>
                <w:sz w:val="24"/>
                <w:szCs w:val="24"/>
                <w:lang w:val="hr-HR"/>
              </w:rPr>
              <w:t>ZONA 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452DDF7" w14:textId="77777777" w:rsidR="008C2837" w:rsidRPr="00EE48FD" w:rsidRDefault="008C2837" w:rsidP="008C2837">
            <w:pPr>
              <w:spacing w:line="240" w:lineRule="auto"/>
              <w:jc w:val="center"/>
              <w:rPr>
                <w:rFonts w:ascii="Times New Roman" w:eastAsia="Times New Roman" w:hAnsi="Times New Roman"/>
                <w:sz w:val="24"/>
                <w:szCs w:val="24"/>
                <w:lang w:val="hr-HR"/>
              </w:rPr>
            </w:pPr>
            <w:r w:rsidRPr="00EE48FD">
              <w:rPr>
                <w:rFonts w:ascii="Times New Roman" w:eastAsia="Times New Roman" w:hAnsi="Times New Roman"/>
                <w:sz w:val="24"/>
                <w:szCs w:val="24"/>
                <w:lang w:val="hr-HR"/>
              </w:rPr>
              <w:t>1</w:t>
            </w:r>
          </w:p>
        </w:tc>
      </w:tr>
      <w:tr w:rsidR="00AE6314" w:rsidRPr="00EE48FD" w14:paraId="108C16BF" w14:textId="77777777">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54586DF9" w14:textId="77777777" w:rsidR="008C2837" w:rsidRPr="00EE48FD" w:rsidRDefault="008C2837" w:rsidP="008C2837">
            <w:pPr>
              <w:spacing w:line="240" w:lineRule="auto"/>
              <w:jc w:val="center"/>
              <w:rPr>
                <w:rFonts w:ascii="Times New Roman" w:eastAsia="Times New Roman" w:hAnsi="Times New Roman"/>
                <w:sz w:val="24"/>
                <w:szCs w:val="24"/>
                <w:lang w:val="hr-HR"/>
              </w:rPr>
            </w:pPr>
            <w:r w:rsidRPr="00EE48FD">
              <w:rPr>
                <w:rFonts w:ascii="Times New Roman" w:eastAsia="Times New Roman" w:hAnsi="Times New Roman"/>
                <w:sz w:val="24"/>
                <w:szCs w:val="24"/>
                <w:lang w:val="hr-HR"/>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F7FD9C6" w14:textId="77777777" w:rsidR="008C2837" w:rsidRPr="00EE48FD" w:rsidRDefault="008C2837" w:rsidP="008C2837">
            <w:pPr>
              <w:spacing w:line="240" w:lineRule="auto"/>
              <w:jc w:val="center"/>
              <w:rPr>
                <w:rFonts w:ascii="Times New Roman" w:eastAsia="Times New Roman" w:hAnsi="Times New Roman"/>
                <w:sz w:val="24"/>
                <w:szCs w:val="24"/>
                <w:lang w:val="hr-HR"/>
              </w:rPr>
            </w:pPr>
            <w:r w:rsidRPr="00EE48FD">
              <w:rPr>
                <w:rFonts w:ascii="Times New Roman" w:eastAsia="Times New Roman" w:hAnsi="Times New Roman"/>
                <w:sz w:val="24"/>
                <w:szCs w:val="24"/>
                <w:lang w:val="hr-HR"/>
              </w:rPr>
              <w:t>ZONA II.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6D2657C" w14:textId="77777777" w:rsidR="008C2837" w:rsidRPr="00EE48FD" w:rsidRDefault="008C2837" w:rsidP="008C2837">
            <w:pPr>
              <w:spacing w:line="240" w:lineRule="auto"/>
              <w:jc w:val="center"/>
              <w:rPr>
                <w:rFonts w:ascii="Times New Roman" w:eastAsia="Times New Roman" w:hAnsi="Times New Roman"/>
                <w:sz w:val="24"/>
                <w:szCs w:val="24"/>
                <w:lang w:val="hr-HR"/>
              </w:rPr>
            </w:pPr>
            <w:r w:rsidRPr="00EE48FD">
              <w:rPr>
                <w:rFonts w:ascii="Times New Roman" w:eastAsia="Times New Roman" w:hAnsi="Times New Roman"/>
                <w:sz w:val="24"/>
                <w:szCs w:val="24"/>
                <w:lang w:val="hr-HR"/>
              </w:rPr>
              <w:t>0,90</w:t>
            </w:r>
          </w:p>
        </w:tc>
      </w:tr>
      <w:tr w:rsidR="00AE6314" w:rsidRPr="00EE48FD" w14:paraId="10C80928" w14:textId="77777777">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695168EA" w14:textId="77777777" w:rsidR="008C2837" w:rsidRPr="00EE48FD" w:rsidRDefault="008C2837" w:rsidP="008C2837">
            <w:pPr>
              <w:spacing w:line="240" w:lineRule="auto"/>
              <w:jc w:val="center"/>
              <w:rPr>
                <w:rFonts w:ascii="Times New Roman" w:eastAsia="Times New Roman" w:hAnsi="Times New Roman"/>
                <w:sz w:val="24"/>
                <w:szCs w:val="24"/>
                <w:lang w:val="hr-HR"/>
              </w:rPr>
            </w:pPr>
            <w:r w:rsidRPr="00EE48FD">
              <w:rPr>
                <w:rFonts w:ascii="Times New Roman" w:eastAsia="Times New Roman" w:hAnsi="Times New Roman"/>
                <w:sz w:val="24"/>
                <w:szCs w:val="24"/>
                <w:lang w:val="hr-HR"/>
              </w:rPr>
              <w:t>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332B671" w14:textId="77777777" w:rsidR="008C2837" w:rsidRPr="00EE48FD" w:rsidRDefault="008C2837" w:rsidP="008C2837">
            <w:pPr>
              <w:spacing w:line="240" w:lineRule="auto"/>
              <w:jc w:val="center"/>
              <w:rPr>
                <w:rFonts w:ascii="Times New Roman" w:eastAsia="Times New Roman" w:hAnsi="Times New Roman"/>
                <w:sz w:val="24"/>
                <w:szCs w:val="24"/>
                <w:lang w:val="hr-HR"/>
              </w:rPr>
            </w:pPr>
            <w:r w:rsidRPr="00EE48FD">
              <w:rPr>
                <w:rFonts w:ascii="Times New Roman" w:eastAsia="Times New Roman" w:hAnsi="Times New Roman"/>
                <w:sz w:val="24"/>
                <w:szCs w:val="24"/>
                <w:lang w:val="hr-HR"/>
              </w:rPr>
              <w:t>ZONA III.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B8DFA4B" w14:textId="77777777" w:rsidR="008C2837" w:rsidRPr="00EE48FD" w:rsidRDefault="008C2837" w:rsidP="008C2837">
            <w:pPr>
              <w:spacing w:line="240" w:lineRule="auto"/>
              <w:jc w:val="center"/>
              <w:rPr>
                <w:rFonts w:ascii="Times New Roman" w:eastAsia="Times New Roman" w:hAnsi="Times New Roman"/>
                <w:sz w:val="24"/>
                <w:szCs w:val="24"/>
                <w:lang w:val="hr-HR"/>
              </w:rPr>
            </w:pPr>
            <w:r w:rsidRPr="00EE48FD">
              <w:rPr>
                <w:rFonts w:ascii="Times New Roman" w:eastAsia="Times New Roman" w:hAnsi="Times New Roman"/>
                <w:sz w:val="24"/>
                <w:szCs w:val="24"/>
                <w:lang w:val="hr-HR"/>
              </w:rPr>
              <w:t>0,80</w:t>
            </w:r>
          </w:p>
        </w:tc>
      </w:tr>
      <w:tr w:rsidR="00AE6314" w:rsidRPr="00EE48FD" w14:paraId="1845D5CB" w14:textId="77777777">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65140B63" w14:textId="77777777" w:rsidR="008C2837" w:rsidRPr="00EE48FD" w:rsidRDefault="008C2837" w:rsidP="008C2837">
            <w:pPr>
              <w:spacing w:line="240" w:lineRule="auto"/>
              <w:jc w:val="center"/>
              <w:rPr>
                <w:rFonts w:ascii="Times New Roman" w:eastAsia="Times New Roman" w:hAnsi="Times New Roman"/>
                <w:sz w:val="24"/>
                <w:szCs w:val="24"/>
                <w:lang w:val="hr-HR"/>
              </w:rPr>
            </w:pPr>
            <w:r w:rsidRPr="00EE48FD">
              <w:rPr>
                <w:rFonts w:ascii="Times New Roman" w:eastAsia="Times New Roman" w:hAnsi="Times New Roman"/>
                <w:sz w:val="24"/>
                <w:szCs w:val="24"/>
                <w:lang w:val="hr-HR"/>
              </w:rPr>
              <w:t>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D05B639" w14:textId="77777777" w:rsidR="008C2837" w:rsidRPr="00EE48FD" w:rsidRDefault="008C2837" w:rsidP="008C2837">
            <w:pPr>
              <w:spacing w:line="240" w:lineRule="auto"/>
              <w:jc w:val="center"/>
              <w:rPr>
                <w:rFonts w:ascii="Times New Roman" w:eastAsia="Times New Roman" w:hAnsi="Times New Roman"/>
                <w:sz w:val="24"/>
                <w:szCs w:val="24"/>
                <w:lang w:val="hr-HR"/>
              </w:rPr>
            </w:pPr>
            <w:r w:rsidRPr="00EE48FD">
              <w:rPr>
                <w:rFonts w:ascii="Times New Roman" w:eastAsia="Times New Roman" w:hAnsi="Times New Roman"/>
                <w:sz w:val="24"/>
                <w:szCs w:val="24"/>
                <w:lang w:val="hr-HR"/>
              </w:rPr>
              <w:t>ZONA IV.</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F2C79B4" w14:textId="58769AEC" w:rsidR="008C2837" w:rsidRPr="00EE48FD" w:rsidRDefault="008C2837" w:rsidP="008C2837">
            <w:pPr>
              <w:spacing w:line="240" w:lineRule="auto"/>
              <w:jc w:val="center"/>
              <w:rPr>
                <w:rFonts w:ascii="Times New Roman" w:eastAsia="Times New Roman" w:hAnsi="Times New Roman"/>
                <w:sz w:val="24"/>
                <w:szCs w:val="24"/>
                <w:lang w:val="hr-HR"/>
              </w:rPr>
            </w:pPr>
            <w:r w:rsidRPr="00EE48FD">
              <w:rPr>
                <w:rFonts w:ascii="Times New Roman" w:eastAsia="Times New Roman" w:hAnsi="Times New Roman"/>
                <w:sz w:val="24"/>
                <w:szCs w:val="24"/>
                <w:lang w:val="hr-HR"/>
              </w:rPr>
              <w:t>0,</w:t>
            </w:r>
            <w:r w:rsidR="002175AE" w:rsidRPr="00EE48FD">
              <w:rPr>
                <w:rFonts w:ascii="Times New Roman" w:eastAsia="Times New Roman" w:hAnsi="Times New Roman"/>
                <w:sz w:val="24"/>
                <w:szCs w:val="24"/>
                <w:lang w:val="hr-HR"/>
              </w:rPr>
              <w:t>60</w:t>
            </w:r>
          </w:p>
        </w:tc>
      </w:tr>
      <w:tr w:rsidR="00AE6314" w:rsidRPr="00EE48FD" w14:paraId="6174C9BA" w14:textId="77777777">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4A2799B2" w14:textId="77777777" w:rsidR="008C2837" w:rsidRPr="00EE48FD" w:rsidRDefault="008C2837" w:rsidP="008C2837">
            <w:pPr>
              <w:spacing w:line="240" w:lineRule="auto"/>
              <w:jc w:val="center"/>
              <w:rPr>
                <w:rFonts w:ascii="Times New Roman" w:eastAsia="Times New Roman" w:hAnsi="Times New Roman"/>
                <w:sz w:val="24"/>
                <w:szCs w:val="24"/>
                <w:lang w:val="hr-HR"/>
              </w:rPr>
            </w:pPr>
            <w:r w:rsidRPr="00EE48FD">
              <w:rPr>
                <w:rFonts w:ascii="Times New Roman" w:eastAsia="Times New Roman" w:hAnsi="Times New Roman"/>
                <w:sz w:val="24"/>
                <w:szCs w:val="24"/>
                <w:lang w:val="hr-HR"/>
              </w:rPr>
              <w:t>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C403068" w14:textId="77777777" w:rsidR="008C2837" w:rsidRPr="00EE48FD" w:rsidRDefault="008C2837" w:rsidP="008C2837">
            <w:pPr>
              <w:spacing w:line="240" w:lineRule="auto"/>
              <w:jc w:val="center"/>
              <w:rPr>
                <w:rFonts w:ascii="Times New Roman" w:eastAsia="Times New Roman" w:hAnsi="Times New Roman"/>
                <w:sz w:val="24"/>
                <w:szCs w:val="24"/>
                <w:lang w:val="hr-HR"/>
              </w:rPr>
            </w:pPr>
            <w:r w:rsidRPr="00EE48FD">
              <w:rPr>
                <w:rFonts w:ascii="Times New Roman" w:eastAsia="Times New Roman" w:hAnsi="Times New Roman"/>
                <w:sz w:val="24"/>
                <w:szCs w:val="24"/>
                <w:lang w:val="hr-HR"/>
              </w:rPr>
              <w:t>ZONA V.</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58DF173" w14:textId="77777777" w:rsidR="008C2837" w:rsidRPr="00EE48FD" w:rsidRDefault="008C2837" w:rsidP="008C2837">
            <w:pPr>
              <w:spacing w:line="240" w:lineRule="auto"/>
              <w:jc w:val="center"/>
              <w:rPr>
                <w:rFonts w:ascii="Times New Roman" w:eastAsia="Times New Roman" w:hAnsi="Times New Roman"/>
                <w:sz w:val="24"/>
                <w:szCs w:val="24"/>
                <w:lang w:val="hr-HR"/>
              </w:rPr>
            </w:pPr>
            <w:r w:rsidRPr="00EE48FD">
              <w:rPr>
                <w:rFonts w:ascii="Times New Roman" w:eastAsia="Times New Roman" w:hAnsi="Times New Roman"/>
                <w:sz w:val="24"/>
                <w:szCs w:val="24"/>
                <w:lang w:val="hr-HR"/>
              </w:rPr>
              <w:t>0,50</w:t>
            </w:r>
          </w:p>
        </w:tc>
      </w:tr>
      <w:tr w:rsidR="00AE6314" w:rsidRPr="00EE48FD" w14:paraId="17FE1A83" w14:textId="77777777">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586BD5A3" w14:textId="77777777" w:rsidR="008C2837" w:rsidRPr="00EE48FD" w:rsidRDefault="008C2837" w:rsidP="008C2837">
            <w:pPr>
              <w:spacing w:line="240" w:lineRule="auto"/>
              <w:jc w:val="center"/>
              <w:rPr>
                <w:rFonts w:ascii="Times New Roman" w:eastAsia="Times New Roman" w:hAnsi="Times New Roman"/>
                <w:sz w:val="24"/>
                <w:szCs w:val="24"/>
                <w:lang w:val="hr-HR"/>
              </w:rPr>
            </w:pPr>
            <w:r w:rsidRPr="00EE48FD">
              <w:rPr>
                <w:rFonts w:ascii="Times New Roman" w:eastAsia="Times New Roman" w:hAnsi="Times New Roman"/>
                <w:sz w:val="24"/>
                <w:szCs w:val="24"/>
                <w:lang w:val="hr-HR"/>
              </w:rPr>
              <w:t>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BEFABBA" w14:textId="77777777" w:rsidR="008C2837" w:rsidRPr="00EE48FD" w:rsidRDefault="008C2837" w:rsidP="008C2837">
            <w:pPr>
              <w:spacing w:line="240" w:lineRule="auto"/>
              <w:jc w:val="center"/>
              <w:rPr>
                <w:rFonts w:ascii="Times New Roman" w:eastAsia="Times New Roman" w:hAnsi="Times New Roman"/>
                <w:sz w:val="24"/>
                <w:szCs w:val="24"/>
                <w:lang w:val="hr-HR"/>
              </w:rPr>
            </w:pPr>
            <w:r w:rsidRPr="00EE48FD">
              <w:rPr>
                <w:rFonts w:ascii="Times New Roman" w:eastAsia="Times New Roman" w:hAnsi="Times New Roman"/>
                <w:sz w:val="24"/>
                <w:szCs w:val="24"/>
                <w:lang w:val="hr-HR"/>
              </w:rPr>
              <w:t>ZONA VI.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9BCC6B" w14:textId="77777777" w:rsidR="008C2837" w:rsidRPr="00EE48FD" w:rsidRDefault="008C2837" w:rsidP="008C2837">
            <w:pPr>
              <w:spacing w:line="240" w:lineRule="auto"/>
              <w:jc w:val="center"/>
              <w:rPr>
                <w:rFonts w:ascii="Times New Roman" w:eastAsia="Times New Roman" w:hAnsi="Times New Roman"/>
                <w:sz w:val="24"/>
                <w:szCs w:val="24"/>
                <w:lang w:val="hr-HR"/>
              </w:rPr>
            </w:pPr>
            <w:r w:rsidRPr="00EE48FD">
              <w:rPr>
                <w:rFonts w:ascii="Times New Roman" w:eastAsia="Times New Roman" w:hAnsi="Times New Roman"/>
                <w:sz w:val="24"/>
                <w:szCs w:val="24"/>
                <w:lang w:val="hr-HR"/>
              </w:rPr>
              <w:t>0,40</w:t>
            </w:r>
          </w:p>
        </w:tc>
      </w:tr>
      <w:tr w:rsidR="008C2837" w:rsidRPr="00EE48FD" w14:paraId="4B9D3996" w14:textId="77777777">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0A4BCDF6" w14:textId="77777777" w:rsidR="008C2837" w:rsidRPr="00EE48FD" w:rsidRDefault="008C2837" w:rsidP="008C2837">
            <w:pPr>
              <w:spacing w:line="240" w:lineRule="auto"/>
              <w:jc w:val="center"/>
              <w:rPr>
                <w:rFonts w:ascii="Times New Roman" w:eastAsia="Times New Roman" w:hAnsi="Times New Roman"/>
                <w:sz w:val="24"/>
                <w:szCs w:val="24"/>
                <w:lang w:val="hr-HR"/>
              </w:rPr>
            </w:pPr>
            <w:r w:rsidRPr="00EE48FD">
              <w:rPr>
                <w:rFonts w:ascii="Times New Roman" w:eastAsia="Times New Roman" w:hAnsi="Times New Roman"/>
                <w:sz w:val="24"/>
                <w:szCs w:val="24"/>
                <w:lang w:val="hr-HR"/>
              </w:rPr>
              <w:t>7.</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9291CF4" w14:textId="77777777" w:rsidR="008C2837" w:rsidRPr="00EE48FD" w:rsidRDefault="008C2837" w:rsidP="008C2837">
            <w:pPr>
              <w:spacing w:line="240" w:lineRule="auto"/>
              <w:jc w:val="center"/>
              <w:rPr>
                <w:rFonts w:ascii="Times New Roman" w:eastAsia="Times New Roman" w:hAnsi="Times New Roman"/>
                <w:sz w:val="24"/>
                <w:szCs w:val="24"/>
                <w:lang w:val="hr-HR"/>
              </w:rPr>
            </w:pPr>
            <w:r w:rsidRPr="00EE48FD">
              <w:rPr>
                <w:rFonts w:ascii="Times New Roman" w:eastAsia="Times New Roman" w:hAnsi="Times New Roman"/>
                <w:sz w:val="24"/>
                <w:szCs w:val="24"/>
                <w:lang w:val="hr-HR"/>
              </w:rPr>
              <w:t>ZONA VII.</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9487429" w14:textId="77777777" w:rsidR="008C2837" w:rsidRPr="00EE48FD" w:rsidRDefault="008C2837" w:rsidP="008C2837">
            <w:pPr>
              <w:spacing w:line="240" w:lineRule="auto"/>
              <w:jc w:val="center"/>
              <w:rPr>
                <w:rFonts w:ascii="Times New Roman" w:eastAsia="Times New Roman" w:hAnsi="Times New Roman"/>
                <w:sz w:val="24"/>
                <w:szCs w:val="24"/>
                <w:lang w:val="hr-HR"/>
              </w:rPr>
            </w:pPr>
            <w:r w:rsidRPr="00EE48FD">
              <w:rPr>
                <w:rFonts w:ascii="Times New Roman" w:eastAsia="Times New Roman" w:hAnsi="Times New Roman"/>
                <w:sz w:val="24"/>
                <w:szCs w:val="24"/>
                <w:lang w:val="hr-HR"/>
              </w:rPr>
              <w:t>0,30</w:t>
            </w:r>
          </w:p>
        </w:tc>
      </w:tr>
    </w:tbl>
    <w:p w14:paraId="69B71086" w14:textId="77777777" w:rsidR="008C2837" w:rsidRPr="00EE48FD" w:rsidRDefault="008C2837" w:rsidP="008C2837">
      <w:pPr>
        <w:shd w:val="clear" w:color="auto" w:fill="FFFFFF"/>
        <w:spacing w:after="0" w:line="240" w:lineRule="auto"/>
        <w:rPr>
          <w:rFonts w:ascii="Times New Roman" w:eastAsia="Times New Roman" w:hAnsi="Times New Roman" w:cs="Times New Roman"/>
          <w:b/>
          <w:bCs/>
          <w:sz w:val="24"/>
          <w:szCs w:val="24"/>
          <w:lang w:eastAsia="en-GB"/>
        </w:rPr>
      </w:pPr>
    </w:p>
    <w:p w14:paraId="2F01C723" w14:textId="77777777" w:rsidR="008C2837" w:rsidRPr="00EE48FD" w:rsidRDefault="008C2837" w:rsidP="008C2837">
      <w:pPr>
        <w:shd w:val="clear" w:color="auto" w:fill="FFFFFF"/>
        <w:spacing w:after="0" w:line="240" w:lineRule="auto"/>
        <w:rPr>
          <w:rFonts w:ascii="Times New Roman" w:eastAsia="Times New Roman" w:hAnsi="Times New Roman" w:cs="Times New Roman"/>
          <w:b/>
          <w:bCs/>
          <w:sz w:val="24"/>
          <w:szCs w:val="24"/>
          <w:lang w:eastAsia="en-GB"/>
        </w:rPr>
      </w:pPr>
    </w:p>
    <w:p w14:paraId="7241571D" w14:textId="77777777" w:rsidR="008C2837" w:rsidRPr="00EE48FD" w:rsidRDefault="008C2837" w:rsidP="008C2837">
      <w:pPr>
        <w:shd w:val="clear" w:color="auto" w:fill="FFFFFF"/>
        <w:spacing w:after="0" w:line="240" w:lineRule="auto"/>
        <w:rPr>
          <w:rFonts w:ascii="Times New Roman" w:eastAsia="Times New Roman" w:hAnsi="Times New Roman" w:cs="Times New Roman"/>
          <w:b/>
          <w:bCs/>
          <w:sz w:val="24"/>
          <w:szCs w:val="24"/>
          <w:lang w:eastAsia="en-GB"/>
        </w:rPr>
      </w:pPr>
      <w:r w:rsidRPr="00EE48FD">
        <w:rPr>
          <w:rFonts w:ascii="Times New Roman" w:eastAsia="Times New Roman" w:hAnsi="Times New Roman" w:cs="Times New Roman"/>
          <w:b/>
          <w:bCs/>
          <w:sz w:val="24"/>
          <w:szCs w:val="24"/>
          <w:lang w:eastAsia="en-GB"/>
        </w:rPr>
        <w:t>KOEFICIJENTI NAMJENE</w:t>
      </w:r>
    </w:p>
    <w:p w14:paraId="4FB7E5BA" w14:textId="77777777" w:rsidR="008C2837" w:rsidRPr="00EE48FD" w:rsidRDefault="008C2837" w:rsidP="008C2837">
      <w:pPr>
        <w:shd w:val="clear" w:color="auto" w:fill="FFFFFF"/>
        <w:spacing w:after="0" w:line="240" w:lineRule="auto"/>
        <w:rPr>
          <w:rFonts w:ascii="Times New Roman" w:eastAsia="Times New Roman" w:hAnsi="Times New Roman" w:cs="Times New Roman"/>
          <w:sz w:val="24"/>
          <w:szCs w:val="24"/>
          <w:lang w:eastAsia="en-GB"/>
        </w:rPr>
      </w:pPr>
    </w:p>
    <w:p w14:paraId="5CF4E384" w14:textId="77777777" w:rsidR="008C2837" w:rsidRPr="00EE48FD" w:rsidRDefault="008C2837" w:rsidP="008C2837">
      <w:pPr>
        <w:shd w:val="clear" w:color="auto" w:fill="FFFFFF"/>
        <w:spacing w:after="0" w:line="240" w:lineRule="auto"/>
        <w:jc w:val="center"/>
        <w:rPr>
          <w:rFonts w:ascii="Times New Roman" w:eastAsia="Times New Roman" w:hAnsi="Times New Roman" w:cs="Times New Roman"/>
          <w:sz w:val="24"/>
          <w:szCs w:val="24"/>
          <w:lang w:eastAsia="en-GB"/>
        </w:rPr>
      </w:pPr>
      <w:proofErr w:type="spellStart"/>
      <w:r w:rsidRPr="00EE48FD">
        <w:rPr>
          <w:rFonts w:ascii="Times New Roman" w:eastAsia="Times New Roman" w:hAnsi="Times New Roman" w:cs="Times New Roman"/>
          <w:sz w:val="24"/>
          <w:szCs w:val="24"/>
          <w:lang w:eastAsia="en-GB"/>
        </w:rPr>
        <w:t>Članak</w:t>
      </w:r>
      <w:proofErr w:type="spellEnd"/>
      <w:r w:rsidRPr="00EE48FD">
        <w:rPr>
          <w:rFonts w:ascii="Times New Roman" w:eastAsia="Times New Roman" w:hAnsi="Times New Roman" w:cs="Times New Roman"/>
          <w:sz w:val="24"/>
          <w:szCs w:val="24"/>
          <w:lang w:eastAsia="en-GB"/>
        </w:rPr>
        <w:t xml:space="preserve"> 4.</w:t>
      </w:r>
    </w:p>
    <w:p w14:paraId="39C91BB7" w14:textId="77777777" w:rsidR="008C2837" w:rsidRPr="00EE48FD" w:rsidRDefault="008C2837" w:rsidP="008C2837">
      <w:pPr>
        <w:shd w:val="clear" w:color="auto" w:fill="FFFFFF"/>
        <w:spacing w:after="0" w:line="240" w:lineRule="auto"/>
        <w:jc w:val="center"/>
        <w:rPr>
          <w:rFonts w:ascii="Times New Roman" w:eastAsia="Times New Roman" w:hAnsi="Times New Roman" w:cs="Times New Roman"/>
          <w:sz w:val="24"/>
          <w:szCs w:val="24"/>
          <w:lang w:eastAsia="en-GB"/>
        </w:rPr>
      </w:pPr>
    </w:p>
    <w:p w14:paraId="7339105F" w14:textId="77777777" w:rsidR="008C2837" w:rsidRPr="00EE48FD" w:rsidRDefault="008C2837" w:rsidP="008C2837">
      <w:pPr>
        <w:shd w:val="clear" w:color="auto" w:fill="FFFFFF"/>
        <w:spacing w:after="0" w:line="240" w:lineRule="auto"/>
        <w:rPr>
          <w:rFonts w:ascii="Times New Roman" w:eastAsia="Times New Roman" w:hAnsi="Times New Roman" w:cs="Times New Roman"/>
          <w:sz w:val="24"/>
          <w:szCs w:val="24"/>
          <w:lang w:eastAsia="en-GB"/>
        </w:rPr>
      </w:pPr>
      <w:proofErr w:type="spellStart"/>
      <w:r w:rsidRPr="00EE48FD">
        <w:rPr>
          <w:rFonts w:ascii="Times New Roman" w:eastAsia="Times New Roman" w:hAnsi="Times New Roman" w:cs="Times New Roman"/>
          <w:sz w:val="24"/>
          <w:szCs w:val="24"/>
          <w:lang w:eastAsia="en-GB"/>
        </w:rPr>
        <w:t>Koeficijenti</w:t>
      </w:r>
      <w:proofErr w:type="spellEnd"/>
      <w:r w:rsidRPr="00EE48FD">
        <w:rPr>
          <w:rFonts w:ascii="Times New Roman" w:eastAsia="Times New Roman" w:hAnsi="Times New Roman" w:cs="Times New Roman"/>
          <w:sz w:val="24"/>
          <w:szCs w:val="24"/>
          <w:lang w:eastAsia="en-GB"/>
        </w:rPr>
        <w:t xml:space="preserve"> </w:t>
      </w:r>
      <w:proofErr w:type="spellStart"/>
      <w:r w:rsidRPr="00EE48FD">
        <w:rPr>
          <w:rFonts w:ascii="Times New Roman" w:eastAsia="Times New Roman" w:hAnsi="Times New Roman" w:cs="Times New Roman"/>
          <w:sz w:val="24"/>
          <w:szCs w:val="24"/>
          <w:lang w:eastAsia="en-GB"/>
        </w:rPr>
        <w:t>namjene</w:t>
      </w:r>
      <w:proofErr w:type="spellEnd"/>
      <w:r w:rsidRPr="00EE48FD">
        <w:rPr>
          <w:rFonts w:ascii="Times New Roman" w:eastAsia="Times New Roman" w:hAnsi="Times New Roman" w:cs="Times New Roman"/>
          <w:sz w:val="24"/>
          <w:szCs w:val="24"/>
          <w:lang w:eastAsia="en-GB"/>
        </w:rPr>
        <w:t xml:space="preserve"> za </w:t>
      </w:r>
      <w:proofErr w:type="spellStart"/>
      <w:r w:rsidRPr="00EE48FD">
        <w:rPr>
          <w:rFonts w:ascii="Times New Roman" w:eastAsia="Times New Roman" w:hAnsi="Times New Roman" w:cs="Times New Roman"/>
          <w:sz w:val="24"/>
          <w:szCs w:val="24"/>
          <w:lang w:eastAsia="en-GB"/>
        </w:rPr>
        <w:t>stambene</w:t>
      </w:r>
      <w:proofErr w:type="spellEnd"/>
      <w:r w:rsidRPr="00EE48FD">
        <w:rPr>
          <w:rFonts w:ascii="Times New Roman" w:eastAsia="Times New Roman" w:hAnsi="Times New Roman" w:cs="Times New Roman"/>
          <w:sz w:val="24"/>
          <w:szCs w:val="24"/>
          <w:lang w:eastAsia="en-GB"/>
        </w:rPr>
        <w:t xml:space="preserve"> </w:t>
      </w:r>
      <w:proofErr w:type="spellStart"/>
      <w:r w:rsidRPr="00EE48FD">
        <w:rPr>
          <w:rFonts w:ascii="Times New Roman" w:eastAsia="Times New Roman" w:hAnsi="Times New Roman" w:cs="Times New Roman"/>
          <w:sz w:val="24"/>
          <w:szCs w:val="24"/>
          <w:lang w:eastAsia="en-GB"/>
        </w:rPr>
        <w:t>prostore</w:t>
      </w:r>
      <w:proofErr w:type="spellEnd"/>
      <w:r w:rsidRPr="00EE48FD">
        <w:rPr>
          <w:rFonts w:ascii="Times New Roman" w:eastAsia="Times New Roman" w:hAnsi="Times New Roman" w:cs="Times New Roman"/>
          <w:sz w:val="24"/>
          <w:szCs w:val="24"/>
          <w:lang w:eastAsia="en-GB"/>
        </w:rPr>
        <w:t xml:space="preserve"> </w:t>
      </w:r>
      <w:proofErr w:type="spellStart"/>
      <w:r w:rsidRPr="00EE48FD">
        <w:rPr>
          <w:rFonts w:ascii="Times New Roman" w:eastAsia="Times New Roman" w:hAnsi="Times New Roman" w:cs="Times New Roman"/>
          <w:sz w:val="24"/>
          <w:szCs w:val="24"/>
          <w:lang w:eastAsia="en-GB"/>
        </w:rPr>
        <w:t>i</w:t>
      </w:r>
      <w:proofErr w:type="spellEnd"/>
      <w:r w:rsidRPr="00EE48FD">
        <w:rPr>
          <w:rFonts w:ascii="Times New Roman" w:eastAsia="Times New Roman" w:hAnsi="Times New Roman" w:cs="Times New Roman"/>
          <w:sz w:val="24"/>
          <w:szCs w:val="24"/>
          <w:lang w:eastAsia="en-GB"/>
        </w:rPr>
        <w:t xml:space="preserve"> </w:t>
      </w:r>
      <w:proofErr w:type="spellStart"/>
      <w:r w:rsidRPr="00EE48FD">
        <w:rPr>
          <w:rFonts w:ascii="Times New Roman" w:eastAsia="Times New Roman" w:hAnsi="Times New Roman" w:cs="Times New Roman"/>
          <w:sz w:val="24"/>
          <w:szCs w:val="24"/>
          <w:lang w:eastAsia="en-GB"/>
        </w:rPr>
        <w:t>druge</w:t>
      </w:r>
      <w:proofErr w:type="spellEnd"/>
      <w:r w:rsidRPr="00EE48FD">
        <w:rPr>
          <w:rFonts w:ascii="Times New Roman" w:eastAsia="Times New Roman" w:hAnsi="Times New Roman" w:cs="Times New Roman"/>
          <w:sz w:val="24"/>
          <w:szCs w:val="24"/>
          <w:lang w:eastAsia="en-GB"/>
        </w:rPr>
        <w:t xml:space="preserve"> </w:t>
      </w:r>
      <w:proofErr w:type="spellStart"/>
      <w:r w:rsidRPr="00EE48FD">
        <w:rPr>
          <w:rFonts w:ascii="Times New Roman" w:eastAsia="Times New Roman" w:hAnsi="Times New Roman" w:cs="Times New Roman"/>
          <w:sz w:val="24"/>
          <w:szCs w:val="24"/>
          <w:lang w:eastAsia="en-GB"/>
        </w:rPr>
        <w:t>prostore</w:t>
      </w:r>
      <w:proofErr w:type="spellEnd"/>
      <w:r w:rsidRPr="00EE48FD">
        <w:rPr>
          <w:rFonts w:ascii="Times New Roman" w:eastAsia="Times New Roman" w:hAnsi="Times New Roman" w:cs="Times New Roman"/>
          <w:sz w:val="24"/>
          <w:szCs w:val="24"/>
          <w:lang w:eastAsia="en-GB"/>
        </w:rPr>
        <w:t xml:space="preserve"> koji </w:t>
      </w:r>
      <w:proofErr w:type="spellStart"/>
      <w:r w:rsidRPr="00EE48FD">
        <w:rPr>
          <w:rFonts w:ascii="Times New Roman" w:eastAsia="Times New Roman" w:hAnsi="Times New Roman" w:cs="Times New Roman"/>
          <w:sz w:val="24"/>
          <w:szCs w:val="24"/>
          <w:lang w:eastAsia="en-GB"/>
        </w:rPr>
        <w:t>služe</w:t>
      </w:r>
      <w:proofErr w:type="spellEnd"/>
      <w:r w:rsidRPr="00EE48FD">
        <w:rPr>
          <w:rFonts w:ascii="Times New Roman" w:eastAsia="Times New Roman" w:hAnsi="Times New Roman" w:cs="Times New Roman"/>
          <w:sz w:val="24"/>
          <w:szCs w:val="24"/>
          <w:lang w:eastAsia="en-GB"/>
        </w:rPr>
        <w:t xml:space="preserve"> za </w:t>
      </w:r>
      <w:proofErr w:type="spellStart"/>
      <w:r w:rsidRPr="00EE48FD">
        <w:rPr>
          <w:rFonts w:ascii="Times New Roman" w:eastAsia="Times New Roman" w:hAnsi="Times New Roman" w:cs="Times New Roman"/>
          <w:sz w:val="24"/>
          <w:szCs w:val="24"/>
          <w:lang w:eastAsia="en-GB"/>
        </w:rPr>
        <w:t>potrebe</w:t>
      </w:r>
      <w:proofErr w:type="spellEnd"/>
      <w:r w:rsidRPr="00EE48FD">
        <w:rPr>
          <w:rFonts w:ascii="Times New Roman" w:eastAsia="Times New Roman" w:hAnsi="Times New Roman" w:cs="Times New Roman"/>
          <w:sz w:val="24"/>
          <w:szCs w:val="24"/>
          <w:lang w:eastAsia="en-GB"/>
        </w:rPr>
        <w:t xml:space="preserve"> </w:t>
      </w:r>
      <w:proofErr w:type="spellStart"/>
      <w:r w:rsidRPr="00EE48FD">
        <w:rPr>
          <w:rFonts w:ascii="Times New Roman" w:eastAsia="Times New Roman" w:hAnsi="Times New Roman" w:cs="Times New Roman"/>
          <w:sz w:val="24"/>
          <w:szCs w:val="24"/>
          <w:lang w:eastAsia="en-GB"/>
        </w:rPr>
        <w:t>stanovanja</w:t>
      </w:r>
      <w:proofErr w:type="spellEnd"/>
      <w:r w:rsidRPr="00EE48FD">
        <w:rPr>
          <w:rFonts w:ascii="Times New Roman" w:eastAsia="Times New Roman" w:hAnsi="Times New Roman" w:cs="Times New Roman"/>
          <w:sz w:val="24"/>
          <w:szCs w:val="24"/>
          <w:lang w:eastAsia="en-GB"/>
        </w:rPr>
        <w:t xml:space="preserve">, </w:t>
      </w:r>
      <w:proofErr w:type="spellStart"/>
      <w:r w:rsidRPr="00EE48FD">
        <w:rPr>
          <w:rFonts w:ascii="Times New Roman" w:eastAsia="Times New Roman" w:hAnsi="Times New Roman" w:cs="Times New Roman"/>
          <w:sz w:val="24"/>
          <w:szCs w:val="24"/>
          <w:lang w:eastAsia="en-GB"/>
        </w:rPr>
        <w:t>garažne</w:t>
      </w:r>
      <w:proofErr w:type="spellEnd"/>
      <w:r w:rsidRPr="00EE48FD">
        <w:rPr>
          <w:rFonts w:ascii="Times New Roman" w:eastAsia="Times New Roman" w:hAnsi="Times New Roman" w:cs="Times New Roman"/>
          <w:sz w:val="24"/>
          <w:szCs w:val="24"/>
          <w:lang w:eastAsia="en-GB"/>
        </w:rPr>
        <w:t xml:space="preserve"> </w:t>
      </w:r>
      <w:proofErr w:type="spellStart"/>
      <w:r w:rsidRPr="00EE48FD">
        <w:rPr>
          <w:rFonts w:ascii="Times New Roman" w:eastAsia="Times New Roman" w:hAnsi="Times New Roman" w:cs="Times New Roman"/>
          <w:sz w:val="24"/>
          <w:szCs w:val="24"/>
          <w:lang w:eastAsia="en-GB"/>
        </w:rPr>
        <w:t>prostore</w:t>
      </w:r>
      <w:proofErr w:type="spellEnd"/>
      <w:r w:rsidRPr="00EE48FD">
        <w:rPr>
          <w:rFonts w:ascii="Times New Roman" w:eastAsia="Times New Roman" w:hAnsi="Times New Roman" w:cs="Times New Roman"/>
          <w:sz w:val="24"/>
          <w:szCs w:val="24"/>
          <w:lang w:eastAsia="en-GB"/>
        </w:rPr>
        <w:t xml:space="preserve"> </w:t>
      </w:r>
      <w:proofErr w:type="spellStart"/>
      <w:r w:rsidRPr="00EE48FD">
        <w:rPr>
          <w:rFonts w:ascii="Times New Roman" w:eastAsia="Times New Roman" w:hAnsi="Times New Roman" w:cs="Times New Roman"/>
          <w:sz w:val="24"/>
          <w:szCs w:val="24"/>
          <w:lang w:eastAsia="en-GB"/>
        </w:rPr>
        <w:t>te</w:t>
      </w:r>
      <w:proofErr w:type="spellEnd"/>
      <w:r w:rsidRPr="00EE48FD">
        <w:rPr>
          <w:rFonts w:ascii="Times New Roman" w:eastAsia="Times New Roman" w:hAnsi="Times New Roman" w:cs="Times New Roman"/>
          <w:sz w:val="24"/>
          <w:szCs w:val="24"/>
          <w:lang w:eastAsia="en-GB"/>
        </w:rPr>
        <w:t xml:space="preserve"> </w:t>
      </w:r>
      <w:proofErr w:type="spellStart"/>
      <w:r w:rsidRPr="00EE48FD">
        <w:rPr>
          <w:rFonts w:ascii="Times New Roman" w:eastAsia="Times New Roman" w:hAnsi="Times New Roman" w:cs="Times New Roman"/>
          <w:sz w:val="24"/>
          <w:szCs w:val="24"/>
          <w:lang w:eastAsia="en-GB"/>
        </w:rPr>
        <w:t>neizgrađeno</w:t>
      </w:r>
      <w:proofErr w:type="spellEnd"/>
      <w:r w:rsidRPr="00EE48FD">
        <w:rPr>
          <w:rFonts w:ascii="Times New Roman" w:eastAsia="Times New Roman" w:hAnsi="Times New Roman" w:cs="Times New Roman"/>
          <w:sz w:val="24"/>
          <w:szCs w:val="24"/>
          <w:lang w:eastAsia="en-GB"/>
        </w:rPr>
        <w:t xml:space="preserve"> </w:t>
      </w:r>
      <w:proofErr w:type="spellStart"/>
      <w:r w:rsidRPr="00EE48FD">
        <w:rPr>
          <w:rFonts w:ascii="Times New Roman" w:eastAsia="Times New Roman" w:hAnsi="Times New Roman" w:cs="Times New Roman"/>
          <w:sz w:val="24"/>
          <w:szCs w:val="24"/>
          <w:lang w:eastAsia="en-GB"/>
        </w:rPr>
        <w:t>građevinsko</w:t>
      </w:r>
      <w:proofErr w:type="spellEnd"/>
      <w:r w:rsidRPr="00EE48FD">
        <w:rPr>
          <w:rFonts w:ascii="Times New Roman" w:eastAsia="Times New Roman" w:hAnsi="Times New Roman" w:cs="Times New Roman"/>
          <w:sz w:val="24"/>
          <w:szCs w:val="24"/>
          <w:lang w:eastAsia="en-GB"/>
        </w:rPr>
        <w:t xml:space="preserve"> </w:t>
      </w:r>
      <w:proofErr w:type="spellStart"/>
      <w:r w:rsidRPr="00EE48FD">
        <w:rPr>
          <w:rFonts w:ascii="Times New Roman" w:eastAsia="Times New Roman" w:hAnsi="Times New Roman" w:cs="Times New Roman"/>
          <w:sz w:val="24"/>
          <w:szCs w:val="24"/>
          <w:lang w:eastAsia="en-GB"/>
        </w:rPr>
        <w:t>zemljište</w:t>
      </w:r>
      <w:proofErr w:type="spellEnd"/>
      <w:r w:rsidRPr="00EE48FD">
        <w:rPr>
          <w:rFonts w:ascii="Times New Roman" w:eastAsia="Times New Roman" w:hAnsi="Times New Roman" w:cs="Times New Roman"/>
          <w:sz w:val="24"/>
          <w:szCs w:val="24"/>
          <w:lang w:eastAsia="en-GB"/>
        </w:rPr>
        <w:t xml:space="preserve"> </w:t>
      </w:r>
      <w:proofErr w:type="spellStart"/>
      <w:r w:rsidRPr="00EE48FD">
        <w:rPr>
          <w:rFonts w:ascii="Times New Roman" w:eastAsia="Times New Roman" w:hAnsi="Times New Roman" w:cs="Times New Roman"/>
          <w:sz w:val="24"/>
          <w:szCs w:val="24"/>
          <w:lang w:eastAsia="en-GB"/>
        </w:rPr>
        <w:t>iznose</w:t>
      </w:r>
      <w:proofErr w:type="spellEnd"/>
      <w:r w:rsidRPr="00EE48FD">
        <w:rPr>
          <w:rFonts w:ascii="Times New Roman" w:eastAsia="Times New Roman" w:hAnsi="Times New Roman" w:cs="Times New Roman"/>
          <w:sz w:val="24"/>
          <w:szCs w:val="24"/>
          <w:lang w:eastAsia="en-GB"/>
        </w:rPr>
        <w:t>:</w:t>
      </w:r>
    </w:p>
    <w:p w14:paraId="6F3604FE" w14:textId="77777777" w:rsidR="008C2837" w:rsidRPr="00EE48FD" w:rsidRDefault="008C2837" w:rsidP="008C2837">
      <w:pPr>
        <w:shd w:val="clear" w:color="auto" w:fill="FFFFFF"/>
        <w:spacing w:after="0" w:line="240" w:lineRule="auto"/>
        <w:rPr>
          <w:rFonts w:ascii="Times New Roman" w:eastAsia="Times New Roman" w:hAnsi="Times New Roman" w:cs="Times New Roman"/>
          <w:sz w:val="24"/>
          <w:szCs w:val="24"/>
          <w:lang w:eastAsia="en-GB"/>
        </w:rPr>
      </w:pPr>
    </w:p>
    <w:tbl>
      <w:tblPr>
        <w:tblStyle w:val="Reetkatablice1"/>
        <w:tblW w:w="0" w:type="auto"/>
        <w:jc w:val="center"/>
        <w:tblInd w:w="0" w:type="dxa"/>
        <w:tblLook w:val="04A0" w:firstRow="1" w:lastRow="0" w:firstColumn="1" w:lastColumn="0" w:noHBand="0" w:noVBand="1"/>
      </w:tblPr>
      <w:tblGrid>
        <w:gridCol w:w="1271"/>
        <w:gridCol w:w="6095"/>
        <w:gridCol w:w="1694"/>
      </w:tblGrid>
      <w:tr w:rsidR="00AE6314" w:rsidRPr="00EE48FD" w14:paraId="01458357" w14:textId="77777777">
        <w:trPr>
          <w:trHeight w:val="699"/>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066A877A" w14:textId="77777777" w:rsidR="008C2837" w:rsidRPr="00EE48FD" w:rsidRDefault="008C2837" w:rsidP="008C2837">
            <w:pPr>
              <w:spacing w:line="240" w:lineRule="auto"/>
              <w:jc w:val="center"/>
              <w:rPr>
                <w:rFonts w:ascii="Times New Roman" w:eastAsia="Times New Roman" w:hAnsi="Times New Roman"/>
                <w:sz w:val="20"/>
                <w:szCs w:val="20"/>
                <w:lang w:val="hr-HR"/>
              </w:rPr>
            </w:pPr>
            <w:r w:rsidRPr="00EE48FD">
              <w:rPr>
                <w:rFonts w:ascii="Times New Roman" w:eastAsia="Times New Roman" w:hAnsi="Times New Roman"/>
                <w:sz w:val="20"/>
                <w:szCs w:val="20"/>
                <w:lang w:val="hr-HR"/>
              </w:rPr>
              <w:lastRenderedPageBreak/>
              <w:t>Grupa</w:t>
            </w:r>
          </w:p>
        </w:tc>
        <w:tc>
          <w:tcPr>
            <w:tcW w:w="6095" w:type="dxa"/>
            <w:tcBorders>
              <w:top w:val="single" w:sz="4" w:space="0" w:color="auto"/>
              <w:left w:val="single" w:sz="4" w:space="0" w:color="auto"/>
              <w:bottom w:val="single" w:sz="4" w:space="0" w:color="auto"/>
              <w:right w:val="single" w:sz="4" w:space="0" w:color="auto"/>
            </w:tcBorders>
            <w:vAlign w:val="center"/>
            <w:hideMark/>
          </w:tcPr>
          <w:p w14:paraId="3FDC08E5" w14:textId="77777777" w:rsidR="008C2837" w:rsidRPr="00EE48FD" w:rsidRDefault="008C2837" w:rsidP="008C2837">
            <w:pPr>
              <w:spacing w:line="240" w:lineRule="auto"/>
              <w:jc w:val="center"/>
              <w:rPr>
                <w:rFonts w:ascii="Times New Roman" w:eastAsia="Times New Roman" w:hAnsi="Times New Roman"/>
                <w:sz w:val="20"/>
                <w:szCs w:val="20"/>
                <w:lang w:val="hr-HR"/>
              </w:rPr>
            </w:pPr>
            <w:r w:rsidRPr="00EE48FD">
              <w:rPr>
                <w:rFonts w:ascii="Times New Roman" w:eastAsia="Times New Roman" w:hAnsi="Times New Roman"/>
                <w:sz w:val="20"/>
                <w:szCs w:val="20"/>
                <w:lang w:val="hr-HR"/>
              </w:rPr>
              <w:t>Opis</w:t>
            </w:r>
          </w:p>
        </w:tc>
        <w:tc>
          <w:tcPr>
            <w:tcW w:w="1694" w:type="dxa"/>
            <w:tcBorders>
              <w:top w:val="single" w:sz="4" w:space="0" w:color="auto"/>
              <w:left w:val="single" w:sz="4" w:space="0" w:color="auto"/>
              <w:bottom w:val="single" w:sz="4" w:space="0" w:color="auto"/>
              <w:right w:val="single" w:sz="4" w:space="0" w:color="auto"/>
            </w:tcBorders>
            <w:vAlign w:val="center"/>
            <w:hideMark/>
          </w:tcPr>
          <w:p w14:paraId="774E0E28" w14:textId="77777777" w:rsidR="008C2837" w:rsidRPr="00EE48FD" w:rsidRDefault="008C2837" w:rsidP="008C2837">
            <w:pPr>
              <w:spacing w:line="240" w:lineRule="auto"/>
              <w:jc w:val="center"/>
              <w:rPr>
                <w:rFonts w:ascii="Times New Roman" w:eastAsia="Times New Roman" w:hAnsi="Times New Roman"/>
                <w:sz w:val="20"/>
                <w:szCs w:val="20"/>
                <w:lang w:val="hr-HR"/>
              </w:rPr>
            </w:pPr>
            <w:r w:rsidRPr="00EE48FD">
              <w:rPr>
                <w:rFonts w:ascii="Times New Roman" w:eastAsia="Times New Roman" w:hAnsi="Times New Roman"/>
                <w:sz w:val="20"/>
                <w:szCs w:val="20"/>
                <w:lang w:val="hr-HR"/>
              </w:rPr>
              <w:t>Koeficijent</w:t>
            </w:r>
          </w:p>
          <w:p w14:paraId="088213FD" w14:textId="77777777" w:rsidR="008C2837" w:rsidRPr="00EE48FD" w:rsidRDefault="008C2837" w:rsidP="008C2837">
            <w:pPr>
              <w:spacing w:line="240" w:lineRule="auto"/>
              <w:jc w:val="center"/>
              <w:rPr>
                <w:rFonts w:ascii="Times New Roman" w:eastAsia="Times New Roman" w:hAnsi="Times New Roman"/>
                <w:sz w:val="20"/>
                <w:szCs w:val="20"/>
                <w:lang w:val="hr-HR"/>
              </w:rPr>
            </w:pPr>
            <w:r w:rsidRPr="00EE48FD">
              <w:rPr>
                <w:rFonts w:ascii="Times New Roman" w:eastAsia="Times New Roman" w:hAnsi="Times New Roman"/>
                <w:sz w:val="20"/>
                <w:szCs w:val="20"/>
                <w:lang w:val="hr-HR"/>
              </w:rPr>
              <w:t>namjene (Kn)</w:t>
            </w:r>
          </w:p>
        </w:tc>
      </w:tr>
      <w:tr w:rsidR="00AE6314" w:rsidRPr="00EE48FD" w14:paraId="4D253D92" w14:textId="77777777">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62CC5D72" w14:textId="77777777" w:rsidR="008C2837" w:rsidRPr="00EE48FD" w:rsidRDefault="008C2837" w:rsidP="008C2837">
            <w:pPr>
              <w:spacing w:line="240" w:lineRule="auto"/>
              <w:jc w:val="center"/>
              <w:rPr>
                <w:rFonts w:ascii="Times New Roman" w:eastAsia="Times New Roman" w:hAnsi="Times New Roman"/>
                <w:sz w:val="20"/>
                <w:szCs w:val="20"/>
                <w:lang w:val="hr-HR"/>
              </w:rPr>
            </w:pPr>
            <w:r w:rsidRPr="00EE48FD">
              <w:rPr>
                <w:rFonts w:ascii="Times New Roman" w:eastAsia="Times New Roman" w:hAnsi="Times New Roman"/>
                <w:sz w:val="20"/>
                <w:szCs w:val="20"/>
                <w:lang w:val="hr-HR"/>
              </w:rPr>
              <w:t>1.</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529CB23" w14:textId="77777777" w:rsidR="008C2837" w:rsidRPr="00EE48FD" w:rsidRDefault="008C2837" w:rsidP="008C2837">
            <w:pPr>
              <w:spacing w:line="240" w:lineRule="auto"/>
              <w:jc w:val="both"/>
              <w:rPr>
                <w:rFonts w:ascii="Times New Roman" w:eastAsia="Times New Roman" w:hAnsi="Times New Roman"/>
                <w:sz w:val="20"/>
                <w:szCs w:val="20"/>
                <w:lang w:val="hr-HR"/>
              </w:rPr>
            </w:pPr>
            <w:r w:rsidRPr="00EE48FD">
              <w:rPr>
                <w:rFonts w:ascii="Times New Roman" w:eastAsia="Times New Roman" w:hAnsi="Times New Roman"/>
                <w:sz w:val="20"/>
                <w:szCs w:val="20"/>
                <w:lang w:val="hr-HR"/>
              </w:rPr>
              <w:t>Stambeni prostor i svi pomoćni prostori i spremišta kao odvojeni prostori za potrebe stanovanja ili se koriste za obavljanje ugostiteljskih usluga u domaćinstvu sukladno propisu kojim se uređuje način i uvjeti obavljanja ugostiteljske djelatnosti</w:t>
            </w:r>
          </w:p>
        </w:tc>
        <w:tc>
          <w:tcPr>
            <w:tcW w:w="1694" w:type="dxa"/>
            <w:tcBorders>
              <w:top w:val="single" w:sz="4" w:space="0" w:color="auto"/>
              <w:left w:val="single" w:sz="4" w:space="0" w:color="auto"/>
              <w:bottom w:val="single" w:sz="4" w:space="0" w:color="auto"/>
              <w:right w:val="single" w:sz="4" w:space="0" w:color="auto"/>
            </w:tcBorders>
            <w:vAlign w:val="center"/>
            <w:hideMark/>
          </w:tcPr>
          <w:p w14:paraId="3F62D229" w14:textId="77777777" w:rsidR="008C2837" w:rsidRPr="00EE48FD" w:rsidRDefault="008C2837" w:rsidP="008C2837">
            <w:pPr>
              <w:spacing w:line="240" w:lineRule="auto"/>
              <w:jc w:val="center"/>
              <w:rPr>
                <w:rFonts w:ascii="Times New Roman" w:eastAsia="Times New Roman" w:hAnsi="Times New Roman"/>
                <w:sz w:val="20"/>
                <w:szCs w:val="20"/>
                <w:lang w:val="hr-HR"/>
              </w:rPr>
            </w:pPr>
            <w:r w:rsidRPr="00EE48FD">
              <w:rPr>
                <w:rFonts w:ascii="Times New Roman" w:eastAsia="Times New Roman" w:hAnsi="Times New Roman"/>
                <w:sz w:val="20"/>
                <w:szCs w:val="20"/>
                <w:lang w:val="hr-HR"/>
              </w:rPr>
              <w:t>1</w:t>
            </w:r>
          </w:p>
        </w:tc>
      </w:tr>
      <w:tr w:rsidR="00AE6314" w:rsidRPr="00EE48FD" w14:paraId="55EAFA33" w14:textId="77777777">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28B7D93D" w14:textId="77777777" w:rsidR="008C2837" w:rsidRPr="00EE48FD" w:rsidRDefault="008C2837" w:rsidP="008C2837">
            <w:pPr>
              <w:spacing w:line="240" w:lineRule="auto"/>
              <w:jc w:val="center"/>
              <w:rPr>
                <w:rFonts w:ascii="Times New Roman" w:eastAsia="Times New Roman" w:hAnsi="Times New Roman"/>
                <w:sz w:val="20"/>
                <w:szCs w:val="20"/>
                <w:lang w:val="hr-HR"/>
              </w:rPr>
            </w:pPr>
            <w:r w:rsidRPr="00EE48FD">
              <w:rPr>
                <w:rFonts w:ascii="Times New Roman" w:eastAsia="Times New Roman" w:hAnsi="Times New Roman"/>
                <w:sz w:val="20"/>
                <w:szCs w:val="20"/>
                <w:lang w:val="hr-HR"/>
              </w:rPr>
              <w:t>2.</w:t>
            </w:r>
          </w:p>
        </w:tc>
        <w:tc>
          <w:tcPr>
            <w:tcW w:w="6095" w:type="dxa"/>
            <w:tcBorders>
              <w:top w:val="single" w:sz="4" w:space="0" w:color="auto"/>
              <w:left w:val="single" w:sz="4" w:space="0" w:color="auto"/>
              <w:bottom w:val="single" w:sz="4" w:space="0" w:color="auto"/>
              <w:right w:val="single" w:sz="4" w:space="0" w:color="auto"/>
            </w:tcBorders>
            <w:vAlign w:val="center"/>
            <w:hideMark/>
          </w:tcPr>
          <w:p w14:paraId="3015D2C7" w14:textId="77777777" w:rsidR="008C2837" w:rsidRPr="00EE48FD" w:rsidRDefault="008C2837" w:rsidP="008C2837">
            <w:pPr>
              <w:spacing w:line="240" w:lineRule="auto"/>
              <w:jc w:val="both"/>
              <w:rPr>
                <w:rFonts w:ascii="Times New Roman" w:eastAsia="Times New Roman" w:hAnsi="Times New Roman"/>
                <w:sz w:val="20"/>
                <w:szCs w:val="20"/>
                <w:lang w:val="hr-HR"/>
              </w:rPr>
            </w:pPr>
            <w:r w:rsidRPr="00EE48FD">
              <w:rPr>
                <w:rFonts w:ascii="Times New Roman" w:eastAsia="Times New Roman" w:hAnsi="Times New Roman"/>
                <w:sz w:val="20"/>
                <w:szCs w:val="20"/>
                <w:lang w:val="hr-HR"/>
              </w:rPr>
              <w:t>Garažni prostor bez obzira da li je samostalna nekretnina te namjene ili se nalazi u sklopu nekretnine druge namjene</w:t>
            </w:r>
          </w:p>
        </w:tc>
        <w:tc>
          <w:tcPr>
            <w:tcW w:w="1694" w:type="dxa"/>
            <w:tcBorders>
              <w:top w:val="single" w:sz="4" w:space="0" w:color="auto"/>
              <w:left w:val="single" w:sz="4" w:space="0" w:color="auto"/>
              <w:bottom w:val="single" w:sz="4" w:space="0" w:color="auto"/>
              <w:right w:val="single" w:sz="4" w:space="0" w:color="auto"/>
            </w:tcBorders>
            <w:vAlign w:val="center"/>
            <w:hideMark/>
          </w:tcPr>
          <w:p w14:paraId="5043D90F" w14:textId="77777777" w:rsidR="008C2837" w:rsidRPr="00EE48FD" w:rsidRDefault="008C2837" w:rsidP="008C2837">
            <w:pPr>
              <w:spacing w:line="240" w:lineRule="auto"/>
              <w:jc w:val="center"/>
              <w:rPr>
                <w:rFonts w:ascii="Times New Roman" w:eastAsia="Times New Roman" w:hAnsi="Times New Roman"/>
                <w:sz w:val="20"/>
                <w:szCs w:val="20"/>
                <w:lang w:val="hr-HR"/>
              </w:rPr>
            </w:pPr>
            <w:r w:rsidRPr="00EE48FD">
              <w:rPr>
                <w:rFonts w:ascii="Times New Roman" w:eastAsia="Times New Roman" w:hAnsi="Times New Roman"/>
                <w:sz w:val="20"/>
                <w:szCs w:val="20"/>
                <w:lang w:val="hr-HR"/>
              </w:rPr>
              <w:t>1</w:t>
            </w:r>
          </w:p>
        </w:tc>
      </w:tr>
      <w:tr w:rsidR="008C2837" w:rsidRPr="00EE48FD" w14:paraId="472662DB" w14:textId="77777777">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328D69FE" w14:textId="77777777" w:rsidR="008C2837" w:rsidRPr="00EE48FD" w:rsidRDefault="008C2837" w:rsidP="008C2837">
            <w:pPr>
              <w:spacing w:line="240" w:lineRule="auto"/>
              <w:jc w:val="center"/>
              <w:rPr>
                <w:rFonts w:ascii="Times New Roman" w:eastAsia="Times New Roman" w:hAnsi="Times New Roman"/>
                <w:sz w:val="20"/>
                <w:szCs w:val="20"/>
                <w:lang w:val="hr-HR"/>
              </w:rPr>
            </w:pPr>
            <w:r w:rsidRPr="00EE48FD">
              <w:rPr>
                <w:rFonts w:ascii="Times New Roman" w:eastAsia="Times New Roman" w:hAnsi="Times New Roman"/>
                <w:sz w:val="20"/>
                <w:szCs w:val="20"/>
                <w:lang w:val="hr-HR"/>
              </w:rPr>
              <w:t>3.</w:t>
            </w:r>
          </w:p>
        </w:tc>
        <w:tc>
          <w:tcPr>
            <w:tcW w:w="6095" w:type="dxa"/>
            <w:tcBorders>
              <w:top w:val="single" w:sz="4" w:space="0" w:color="auto"/>
              <w:left w:val="single" w:sz="4" w:space="0" w:color="auto"/>
              <w:bottom w:val="single" w:sz="4" w:space="0" w:color="auto"/>
              <w:right w:val="single" w:sz="4" w:space="0" w:color="auto"/>
            </w:tcBorders>
            <w:vAlign w:val="center"/>
            <w:hideMark/>
          </w:tcPr>
          <w:p w14:paraId="76280B96" w14:textId="77777777" w:rsidR="008C2837" w:rsidRPr="00EE48FD" w:rsidRDefault="008C2837" w:rsidP="008C2837">
            <w:pPr>
              <w:spacing w:line="240" w:lineRule="auto"/>
              <w:jc w:val="both"/>
              <w:rPr>
                <w:rFonts w:ascii="Times New Roman" w:eastAsia="Times New Roman" w:hAnsi="Times New Roman"/>
                <w:sz w:val="20"/>
                <w:szCs w:val="20"/>
                <w:lang w:val="hr-HR"/>
              </w:rPr>
            </w:pPr>
            <w:r w:rsidRPr="00EE48FD">
              <w:rPr>
                <w:rFonts w:ascii="Times New Roman" w:eastAsia="Times New Roman" w:hAnsi="Times New Roman"/>
                <w:sz w:val="20"/>
                <w:szCs w:val="20"/>
                <w:lang w:val="hr-HR"/>
              </w:rPr>
              <w:t>Neizgrađeno građevinsko zemljište na kojem je predviđena gradnja nekretnine za čiju izgradnju postoji pravomoćno odobrenje za gradnju</w:t>
            </w:r>
          </w:p>
        </w:tc>
        <w:tc>
          <w:tcPr>
            <w:tcW w:w="1694" w:type="dxa"/>
            <w:tcBorders>
              <w:top w:val="single" w:sz="4" w:space="0" w:color="auto"/>
              <w:left w:val="single" w:sz="4" w:space="0" w:color="auto"/>
              <w:bottom w:val="single" w:sz="4" w:space="0" w:color="auto"/>
              <w:right w:val="single" w:sz="4" w:space="0" w:color="auto"/>
            </w:tcBorders>
            <w:vAlign w:val="center"/>
            <w:hideMark/>
          </w:tcPr>
          <w:p w14:paraId="79518348" w14:textId="77777777" w:rsidR="008C2837" w:rsidRPr="00EE48FD" w:rsidRDefault="008C2837" w:rsidP="008C2837">
            <w:pPr>
              <w:spacing w:line="240" w:lineRule="auto"/>
              <w:jc w:val="center"/>
              <w:rPr>
                <w:rFonts w:ascii="Times New Roman" w:eastAsia="Times New Roman" w:hAnsi="Times New Roman"/>
                <w:sz w:val="20"/>
                <w:szCs w:val="20"/>
                <w:lang w:val="hr-HR"/>
              </w:rPr>
            </w:pPr>
            <w:r w:rsidRPr="00EE48FD">
              <w:rPr>
                <w:rFonts w:ascii="Times New Roman" w:eastAsia="Times New Roman" w:hAnsi="Times New Roman"/>
                <w:sz w:val="20"/>
                <w:szCs w:val="20"/>
                <w:lang w:val="hr-HR"/>
              </w:rPr>
              <w:t>0,05</w:t>
            </w:r>
          </w:p>
        </w:tc>
      </w:tr>
    </w:tbl>
    <w:p w14:paraId="26AB5596" w14:textId="77777777" w:rsidR="008C2837" w:rsidRPr="00EE48FD" w:rsidRDefault="008C2837" w:rsidP="008C2837">
      <w:pPr>
        <w:shd w:val="clear" w:color="auto" w:fill="FFFFFF"/>
        <w:spacing w:after="0" w:line="240" w:lineRule="auto"/>
        <w:jc w:val="center"/>
        <w:rPr>
          <w:rFonts w:ascii="Times New Roman" w:eastAsia="Times New Roman" w:hAnsi="Times New Roman" w:cs="Times New Roman"/>
          <w:sz w:val="24"/>
          <w:szCs w:val="24"/>
          <w:lang w:eastAsia="en-GB"/>
        </w:rPr>
      </w:pPr>
    </w:p>
    <w:p w14:paraId="15FF0FCC" w14:textId="77777777" w:rsidR="008C2837" w:rsidRPr="00EE48FD" w:rsidRDefault="008C2837" w:rsidP="008C2837">
      <w:pPr>
        <w:shd w:val="clear" w:color="auto" w:fill="FFFFFF"/>
        <w:spacing w:after="0" w:line="240" w:lineRule="auto"/>
        <w:jc w:val="center"/>
        <w:rPr>
          <w:rFonts w:ascii="Times New Roman" w:eastAsia="Times New Roman" w:hAnsi="Times New Roman" w:cs="Times New Roman"/>
          <w:sz w:val="24"/>
          <w:szCs w:val="24"/>
          <w:lang w:eastAsia="en-GB"/>
        </w:rPr>
      </w:pPr>
      <w:proofErr w:type="spellStart"/>
      <w:r w:rsidRPr="00EE48FD">
        <w:rPr>
          <w:rFonts w:ascii="Times New Roman" w:eastAsia="Times New Roman" w:hAnsi="Times New Roman" w:cs="Times New Roman"/>
          <w:sz w:val="24"/>
          <w:szCs w:val="24"/>
          <w:lang w:eastAsia="en-GB"/>
        </w:rPr>
        <w:t>Članak</w:t>
      </w:r>
      <w:proofErr w:type="spellEnd"/>
      <w:r w:rsidRPr="00EE48FD">
        <w:rPr>
          <w:rFonts w:ascii="Times New Roman" w:eastAsia="Times New Roman" w:hAnsi="Times New Roman" w:cs="Times New Roman"/>
          <w:sz w:val="24"/>
          <w:szCs w:val="24"/>
          <w:lang w:eastAsia="en-GB"/>
        </w:rPr>
        <w:t xml:space="preserve"> 5.</w:t>
      </w:r>
    </w:p>
    <w:p w14:paraId="750DB057" w14:textId="77777777" w:rsidR="008C2837" w:rsidRPr="00EE48FD" w:rsidRDefault="008C2837" w:rsidP="008C2837">
      <w:pPr>
        <w:shd w:val="clear" w:color="auto" w:fill="FFFFFF"/>
        <w:spacing w:after="0" w:line="240" w:lineRule="auto"/>
        <w:jc w:val="center"/>
        <w:rPr>
          <w:rFonts w:ascii="Times New Roman" w:eastAsia="Times New Roman" w:hAnsi="Times New Roman" w:cs="Times New Roman"/>
          <w:sz w:val="24"/>
          <w:szCs w:val="24"/>
          <w:lang w:eastAsia="en-GB"/>
        </w:rPr>
      </w:pPr>
    </w:p>
    <w:p w14:paraId="2932F264" w14:textId="77777777" w:rsidR="008C2837" w:rsidRPr="009F7D6D" w:rsidRDefault="008C2837" w:rsidP="008C2837">
      <w:pPr>
        <w:numPr>
          <w:ilvl w:val="0"/>
          <w:numId w:val="7"/>
        </w:numPr>
        <w:shd w:val="clear" w:color="auto" w:fill="FFFFFF"/>
        <w:spacing w:after="0" w:line="240" w:lineRule="auto"/>
        <w:ind w:left="0"/>
        <w:jc w:val="both"/>
        <w:rPr>
          <w:rFonts w:ascii="Times New Roman" w:eastAsia="Times New Roman" w:hAnsi="Times New Roman" w:cs="Times New Roman"/>
          <w:sz w:val="24"/>
          <w:szCs w:val="24"/>
          <w:lang w:val="hr-HR" w:eastAsia="en-GB"/>
        </w:rPr>
      </w:pPr>
      <w:r w:rsidRPr="009F7D6D">
        <w:rPr>
          <w:rFonts w:ascii="Times New Roman" w:eastAsia="Times New Roman" w:hAnsi="Times New Roman" w:cs="Times New Roman"/>
          <w:sz w:val="24"/>
          <w:szCs w:val="24"/>
          <w:lang w:val="hr-HR" w:eastAsia="en-GB"/>
        </w:rPr>
        <w:t xml:space="preserve">Za poslovni prostor i za građevinsko zemljište koje služi u svrhu obavljanja poslovne djelatnosti određuju se koeficijenti namjene prema djelatnosti koja se obavlja u pojedinom prostoru ili građevinskom zemljištu, odnosno namjeni nekretnine prema ishođenim aktima za građenje: </w:t>
      </w:r>
    </w:p>
    <w:p w14:paraId="2289B8AD" w14:textId="77777777" w:rsidR="008C2837" w:rsidRPr="00EE48FD" w:rsidRDefault="008C2837" w:rsidP="008C2837">
      <w:pPr>
        <w:shd w:val="clear" w:color="auto" w:fill="FFFFFF"/>
        <w:spacing w:after="0" w:line="240" w:lineRule="auto"/>
        <w:jc w:val="both"/>
        <w:rPr>
          <w:rFonts w:ascii="Times New Roman" w:eastAsia="Times New Roman" w:hAnsi="Times New Roman" w:cs="Times New Roman"/>
          <w:sz w:val="24"/>
          <w:szCs w:val="24"/>
          <w:lang w:eastAsia="en-GB"/>
        </w:rPr>
      </w:pPr>
    </w:p>
    <w:tbl>
      <w:tblPr>
        <w:tblStyle w:val="Reetkatablice1"/>
        <w:tblW w:w="0" w:type="auto"/>
        <w:jc w:val="center"/>
        <w:tblInd w:w="0" w:type="dxa"/>
        <w:tblLook w:val="04A0" w:firstRow="1" w:lastRow="0" w:firstColumn="1" w:lastColumn="0" w:noHBand="0" w:noVBand="1"/>
      </w:tblPr>
      <w:tblGrid>
        <w:gridCol w:w="1271"/>
        <w:gridCol w:w="5810"/>
        <w:gridCol w:w="1979"/>
      </w:tblGrid>
      <w:tr w:rsidR="00AE6314" w:rsidRPr="00EE48FD" w14:paraId="4B275DE7" w14:textId="77777777">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187E903A" w14:textId="77777777" w:rsidR="008C2837" w:rsidRPr="00EE48FD" w:rsidRDefault="008C2837" w:rsidP="008C2837">
            <w:pPr>
              <w:spacing w:line="240" w:lineRule="auto"/>
              <w:jc w:val="center"/>
              <w:rPr>
                <w:rFonts w:ascii="Times New Roman" w:eastAsia="Times New Roman" w:hAnsi="Times New Roman"/>
                <w:b/>
                <w:bCs/>
                <w:sz w:val="20"/>
                <w:szCs w:val="20"/>
                <w:lang w:val="hr-HR"/>
              </w:rPr>
            </w:pPr>
            <w:r w:rsidRPr="00EE48FD">
              <w:rPr>
                <w:rFonts w:ascii="Times New Roman" w:eastAsia="Times New Roman" w:hAnsi="Times New Roman"/>
                <w:b/>
                <w:bCs/>
                <w:sz w:val="20"/>
                <w:szCs w:val="20"/>
                <w:lang w:val="hr-HR"/>
              </w:rPr>
              <w:t>Grupa</w:t>
            </w:r>
          </w:p>
        </w:tc>
        <w:tc>
          <w:tcPr>
            <w:tcW w:w="5810" w:type="dxa"/>
            <w:tcBorders>
              <w:top w:val="single" w:sz="4" w:space="0" w:color="auto"/>
              <w:left w:val="single" w:sz="4" w:space="0" w:color="auto"/>
              <w:bottom w:val="single" w:sz="4" w:space="0" w:color="auto"/>
              <w:right w:val="single" w:sz="4" w:space="0" w:color="auto"/>
            </w:tcBorders>
            <w:vAlign w:val="center"/>
            <w:hideMark/>
          </w:tcPr>
          <w:p w14:paraId="4A6FD092" w14:textId="77777777" w:rsidR="008C2837" w:rsidRPr="00EE48FD" w:rsidRDefault="008C2837" w:rsidP="008C2837">
            <w:pPr>
              <w:spacing w:line="240" w:lineRule="auto"/>
              <w:jc w:val="center"/>
              <w:rPr>
                <w:rFonts w:ascii="Times New Roman" w:eastAsia="Times New Roman" w:hAnsi="Times New Roman"/>
                <w:b/>
                <w:bCs/>
                <w:sz w:val="20"/>
                <w:szCs w:val="20"/>
                <w:lang w:val="hr-HR"/>
              </w:rPr>
            </w:pPr>
            <w:r w:rsidRPr="00EE48FD">
              <w:rPr>
                <w:rFonts w:ascii="Times New Roman" w:eastAsia="Times New Roman" w:hAnsi="Times New Roman"/>
                <w:b/>
                <w:bCs/>
                <w:sz w:val="20"/>
                <w:szCs w:val="20"/>
                <w:lang w:val="hr-HR"/>
              </w:rPr>
              <w:t>Djelatnost koja se obavlja u poslovnom prostoru</w:t>
            </w:r>
          </w:p>
        </w:tc>
        <w:tc>
          <w:tcPr>
            <w:tcW w:w="1979" w:type="dxa"/>
            <w:tcBorders>
              <w:top w:val="single" w:sz="4" w:space="0" w:color="auto"/>
              <w:left w:val="single" w:sz="4" w:space="0" w:color="auto"/>
              <w:bottom w:val="single" w:sz="4" w:space="0" w:color="auto"/>
              <w:right w:val="single" w:sz="4" w:space="0" w:color="auto"/>
            </w:tcBorders>
            <w:vAlign w:val="center"/>
            <w:hideMark/>
          </w:tcPr>
          <w:p w14:paraId="3EA1402A" w14:textId="77777777" w:rsidR="008C2837" w:rsidRPr="00EE48FD" w:rsidRDefault="008C2837" w:rsidP="008C2837">
            <w:pPr>
              <w:spacing w:line="240" w:lineRule="auto"/>
              <w:jc w:val="center"/>
              <w:rPr>
                <w:rFonts w:ascii="Times New Roman" w:eastAsia="Times New Roman" w:hAnsi="Times New Roman"/>
                <w:b/>
                <w:bCs/>
                <w:sz w:val="20"/>
                <w:szCs w:val="20"/>
                <w:lang w:val="hr-HR"/>
              </w:rPr>
            </w:pPr>
            <w:r w:rsidRPr="00EE48FD">
              <w:rPr>
                <w:rFonts w:ascii="Times New Roman" w:eastAsia="Times New Roman" w:hAnsi="Times New Roman"/>
                <w:b/>
                <w:bCs/>
                <w:sz w:val="20"/>
                <w:szCs w:val="20"/>
                <w:lang w:val="hr-HR"/>
              </w:rPr>
              <w:t>Koeficijent Namjene (Kn)</w:t>
            </w:r>
          </w:p>
        </w:tc>
      </w:tr>
      <w:tr w:rsidR="00AE6314" w:rsidRPr="00EE48FD" w14:paraId="607A23AF" w14:textId="77777777">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404A4E2B" w14:textId="77777777" w:rsidR="008C2837" w:rsidRPr="00EE48FD" w:rsidRDefault="008C2837" w:rsidP="008C2837">
            <w:pPr>
              <w:spacing w:line="240" w:lineRule="auto"/>
              <w:jc w:val="center"/>
              <w:rPr>
                <w:rFonts w:ascii="Times New Roman" w:eastAsia="Times New Roman" w:hAnsi="Times New Roman"/>
                <w:sz w:val="20"/>
                <w:szCs w:val="20"/>
                <w:lang w:val="hr-HR"/>
              </w:rPr>
            </w:pPr>
            <w:r w:rsidRPr="00EE48FD">
              <w:rPr>
                <w:rFonts w:ascii="Times New Roman" w:eastAsia="Times New Roman" w:hAnsi="Times New Roman"/>
                <w:sz w:val="20"/>
                <w:szCs w:val="20"/>
                <w:lang w:val="hr-HR"/>
              </w:rPr>
              <w:t>1.</w:t>
            </w:r>
          </w:p>
        </w:tc>
        <w:tc>
          <w:tcPr>
            <w:tcW w:w="5810" w:type="dxa"/>
            <w:tcBorders>
              <w:top w:val="single" w:sz="4" w:space="0" w:color="auto"/>
              <w:left w:val="single" w:sz="4" w:space="0" w:color="auto"/>
              <w:bottom w:val="single" w:sz="4" w:space="0" w:color="auto"/>
              <w:right w:val="single" w:sz="4" w:space="0" w:color="auto"/>
            </w:tcBorders>
            <w:vAlign w:val="center"/>
            <w:hideMark/>
          </w:tcPr>
          <w:p w14:paraId="7DA5ACFF" w14:textId="77777777" w:rsidR="008C2837" w:rsidRPr="00EE48FD" w:rsidRDefault="008C2837" w:rsidP="008C2837">
            <w:pPr>
              <w:spacing w:line="240" w:lineRule="auto"/>
              <w:jc w:val="both"/>
              <w:rPr>
                <w:rFonts w:ascii="Times New Roman" w:eastAsia="Times New Roman" w:hAnsi="Times New Roman"/>
                <w:sz w:val="20"/>
                <w:szCs w:val="20"/>
                <w:lang w:val="hr-HR"/>
              </w:rPr>
            </w:pPr>
            <w:r w:rsidRPr="00EE48FD">
              <w:rPr>
                <w:rFonts w:ascii="Times New Roman" w:eastAsia="Times New Roman" w:hAnsi="Times New Roman"/>
                <w:sz w:val="20"/>
                <w:szCs w:val="20"/>
                <w:lang w:val="hr-HR"/>
              </w:rPr>
              <w:t>- Poslovni i drugi prostori u kojima se obavlja neprofitna djelatnost udruga građana, političkih organizacija i odgojno obrazovnih ustanova: škole, dječji vrtići i jaslice i ustanove za socijalnu skrb i zdravstvo ako svoju djelatnost obavljaju neprofitno, vjerski obredi i druge aktivnosti vjerske organizacije vezane uz promicanje vjere</w:t>
            </w:r>
          </w:p>
        </w:tc>
        <w:tc>
          <w:tcPr>
            <w:tcW w:w="1979" w:type="dxa"/>
            <w:tcBorders>
              <w:top w:val="single" w:sz="4" w:space="0" w:color="auto"/>
              <w:left w:val="single" w:sz="4" w:space="0" w:color="auto"/>
              <w:bottom w:val="single" w:sz="4" w:space="0" w:color="auto"/>
              <w:right w:val="single" w:sz="4" w:space="0" w:color="auto"/>
            </w:tcBorders>
            <w:vAlign w:val="center"/>
            <w:hideMark/>
          </w:tcPr>
          <w:p w14:paraId="57EAA99F" w14:textId="77777777" w:rsidR="008C2837" w:rsidRPr="00EE48FD" w:rsidRDefault="008C2837" w:rsidP="008C2837">
            <w:pPr>
              <w:spacing w:line="240" w:lineRule="auto"/>
              <w:jc w:val="center"/>
              <w:rPr>
                <w:rFonts w:ascii="Times New Roman" w:eastAsia="Times New Roman" w:hAnsi="Times New Roman"/>
                <w:sz w:val="20"/>
                <w:szCs w:val="20"/>
                <w:lang w:val="hr-HR"/>
              </w:rPr>
            </w:pPr>
            <w:r w:rsidRPr="00EE48FD">
              <w:rPr>
                <w:rFonts w:ascii="Times New Roman" w:eastAsia="Times New Roman" w:hAnsi="Times New Roman"/>
                <w:sz w:val="20"/>
                <w:szCs w:val="20"/>
                <w:lang w:val="hr-HR"/>
              </w:rPr>
              <w:t>1</w:t>
            </w:r>
          </w:p>
        </w:tc>
      </w:tr>
      <w:tr w:rsidR="00AE6314" w:rsidRPr="00EE48FD" w14:paraId="78F9448D" w14:textId="77777777">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48B7D221" w14:textId="77777777" w:rsidR="008C2837" w:rsidRPr="00EE48FD" w:rsidRDefault="008C2837" w:rsidP="008C2837">
            <w:pPr>
              <w:spacing w:line="240" w:lineRule="auto"/>
              <w:jc w:val="center"/>
              <w:rPr>
                <w:rFonts w:ascii="Times New Roman" w:eastAsia="Times New Roman" w:hAnsi="Times New Roman"/>
                <w:sz w:val="20"/>
                <w:szCs w:val="20"/>
                <w:lang w:val="hr-HR"/>
              </w:rPr>
            </w:pPr>
            <w:r w:rsidRPr="00EE48FD">
              <w:rPr>
                <w:rFonts w:ascii="Times New Roman" w:eastAsia="Times New Roman" w:hAnsi="Times New Roman"/>
                <w:sz w:val="20"/>
                <w:szCs w:val="20"/>
                <w:lang w:val="hr-HR"/>
              </w:rPr>
              <w:t>2.</w:t>
            </w:r>
          </w:p>
        </w:tc>
        <w:tc>
          <w:tcPr>
            <w:tcW w:w="5810" w:type="dxa"/>
            <w:tcBorders>
              <w:top w:val="single" w:sz="4" w:space="0" w:color="auto"/>
              <w:left w:val="single" w:sz="4" w:space="0" w:color="auto"/>
              <w:bottom w:val="single" w:sz="4" w:space="0" w:color="auto"/>
              <w:right w:val="single" w:sz="4" w:space="0" w:color="auto"/>
            </w:tcBorders>
            <w:vAlign w:val="center"/>
            <w:hideMark/>
          </w:tcPr>
          <w:p w14:paraId="4F0528DC" w14:textId="77777777" w:rsidR="008C2837" w:rsidRPr="00EE48FD" w:rsidRDefault="008C2837" w:rsidP="008C2837">
            <w:pPr>
              <w:spacing w:line="240" w:lineRule="auto"/>
              <w:jc w:val="both"/>
              <w:rPr>
                <w:rFonts w:ascii="Times New Roman" w:eastAsia="Times New Roman" w:hAnsi="Times New Roman"/>
                <w:sz w:val="20"/>
                <w:szCs w:val="20"/>
                <w:lang w:val="hr-HR"/>
              </w:rPr>
            </w:pPr>
            <w:r w:rsidRPr="00EE48FD">
              <w:rPr>
                <w:rFonts w:ascii="Times New Roman" w:eastAsia="Times New Roman" w:hAnsi="Times New Roman"/>
                <w:sz w:val="20"/>
                <w:szCs w:val="20"/>
                <w:lang w:val="hr-HR"/>
              </w:rPr>
              <w:t>- Prodavaonice za prodaju lijekova, cvijeća, umjetničke galerije i ateljei, antikvarijati, knjižare, papirnice, kavane, sportski objekti, dvorane: kazališne, kino, kongresne, zabavne i drugi objekti društvene namjene</w:t>
            </w:r>
          </w:p>
        </w:tc>
        <w:tc>
          <w:tcPr>
            <w:tcW w:w="1979" w:type="dxa"/>
            <w:tcBorders>
              <w:top w:val="single" w:sz="4" w:space="0" w:color="auto"/>
              <w:left w:val="single" w:sz="4" w:space="0" w:color="auto"/>
              <w:bottom w:val="single" w:sz="4" w:space="0" w:color="auto"/>
              <w:right w:val="single" w:sz="4" w:space="0" w:color="auto"/>
            </w:tcBorders>
            <w:vAlign w:val="center"/>
            <w:hideMark/>
          </w:tcPr>
          <w:p w14:paraId="13FD56D7" w14:textId="77777777" w:rsidR="008C2837" w:rsidRPr="00EE48FD" w:rsidRDefault="008C2837" w:rsidP="008C2837">
            <w:pPr>
              <w:spacing w:line="240" w:lineRule="auto"/>
              <w:jc w:val="center"/>
              <w:rPr>
                <w:rFonts w:ascii="Times New Roman" w:eastAsia="Times New Roman" w:hAnsi="Times New Roman"/>
                <w:sz w:val="20"/>
                <w:szCs w:val="20"/>
                <w:lang w:val="hr-HR"/>
              </w:rPr>
            </w:pPr>
            <w:r w:rsidRPr="00EE48FD">
              <w:rPr>
                <w:rFonts w:ascii="Times New Roman" w:eastAsia="Times New Roman" w:hAnsi="Times New Roman"/>
                <w:sz w:val="20"/>
                <w:szCs w:val="20"/>
                <w:lang w:val="hr-HR"/>
              </w:rPr>
              <w:t>4</w:t>
            </w:r>
          </w:p>
        </w:tc>
      </w:tr>
      <w:tr w:rsidR="00AE6314" w:rsidRPr="00EE48FD" w14:paraId="453D96AC" w14:textId="77777777">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0DC7DC3F" w14:textId="77777777" w:rsidR="008C2837" w:rsidRPr="00EE48FD" w:rsidRDefault="008C2837" w:rsidP="008C2837">
            <w:pPr>
              <w:spacing w:line="240" w:lineRule="auto"/>
              <w:jc w:val="center"/>
              <w:rPr>
                <w:rFonts w:ascii="Times New Roman" w:eastAsia="Times New Roman" w:hAnsi="Times New Roman"/>
                <w:sz w:val="20"/>
                <w:szCs w:val="20"/>
                <w:lang w:val="hr-HR"/>
              </w:rPr>
            </w:pPr>
            <w:r w:rsidRPr="00EE48FD">
              <w:rPr>
                <w:rFonts w:ascii="Times New Roman" w:eastAsia="Times New Roman" w:hAnsi="Times New Roman"/>
                <w:sz w:val="20"/>
                <w:szCs w:val="20"/>
                <w:lang w:val="hr-HR"/>
              </w:rPr>
              <w:t>3.</w:t>
            </w:r>
          </w:p>
        </w:tc>
        <w:tc>
          <w:tcPr>
            <w:tcW w:w="5810" w:type="dxa"/>
            <w:tcBorders>
              <w:top w:val="single" w:sz="4" w:space="0" w:color="auto"/>
              <w:left w:val="single" w:sz="4" w:space="0" w:color="auto"/>
              <w:bottom w:val="single" w:sz="4" w:space="0" w:color="auto"/>
              <w:right w:val="single" w:sz="4" w:space="0" w:color="auto"/>
            </w:tcBorders>
            <w:vAlign w:val="center"/>
            <w:hideMark/>
          </w:tcPr>
          <w:p w14:paraId="47591CA7" w14:textId="77777777" w:rsidR="008C2837" w:rsidRPr="00EE48FD" w:rsidRDefault="008C2837" w:rsidP="008C2837">
            <w:pPr>
              <w:spacing w:line="240" w:lineRule="auto"/>
              <w:jc w:val="both"/>
              <w:rPr>
                <w:rFonts w:ascii="Times New Roman" w:eastAsia="Times New Roman" w:hAnsi="Times New Roman"/>
                <w:sz w:val="20"/>
                <w:szCs w:val="20"/>
                <w:lang w:val="hr-HR"/>
              </w:rPr>
            </w:pPr>
            <w:r w:rsidRPr="00EE48FD">
              <w:rPr>
                <w:rFonts w:ascii="Times New Roman" w:eastAsia="Times New Roman" w:hAnsi="Times New Roman"/>
                <w:sz w:val="20"/>
                <w:szCs w:val="20"/>
                <w:lang w:val="hr-HR"/>
              </w:rPr>
              <w:t>- Proizvodne djelatnosti (poljoprivreda, vađenje i prerada ruda i metala, proizvodnja hrane i pića, proizvodnja tekstila, kože, drva, celuloze, papira i kartona, kemijskih sredstava, gume i plastičnih masa, stakla i drugih nemetala, metala, kao i proizvoda od tih materijala, proizvodnja strojeva i uređaja, električne i optičke opreme, prometnih sredstava, te ostala prerađivačka industrija i proizvodno zanatstvo te izdavačka djelatnost), kao i ugostiteljski objekti koji djelatnost obavljaju u okviru prostora državnih i županijskih tijela, institucija i ustanova, tijela i ustanova jedinica lokalne samouprave, čije je radno vrijeme ograničeno radnim vremenom tijela, institucija i ustanova u čijim se prostorima djelatnost obavlja</w:t>
            </w:r>
          </w:p>
          <w:p w14:paraId="40ACFC3F" w14:textId="77777777" w:rsidR="008C2837" w:rsidRPr="00EE48FD" w:rsidRDefault="008C2837" w:rsidP="008C2837">
            <w:pPr>
              <w:spacing w:line="240" w:lineRule="auto"/>
              <w:jc w:val="both"/>
              <w:rPr>
                <w:rFonts w:ascii="Times New Roman" w:eastAsia="Times New Roman" w:hAnsi="Times New Roman"/>
                <w:sz w:val="20"/>
                <w:szCs w:val="20"/>
                <w:lang w:val="hr-HR"/>
              </w:rPr>
            </w:pPr>
            <w:r w:rsidRPr="00EE48FD">
              <w:rPr>
                <w:rFonts w:ascii="Times New Roman" w:eastAsia="Times New Roman" w:hAnsi="Times New Roman"/>
                <w:sz w:val="20"/>
                <w:szCs w:val="20"/>
                <w:lang w:val="hr-HR"/>
              </w:rPr>
              <w:t>- Tržnice</w:t>
            </w:r>
          </w:p>
        </w:tc>
        <w:tc>
          <w:tcPr>
            <w:tcW w:w="1979" w:type="dxa"/>
            <w:tcBorders>
              <w:top w:val="single" w:sz="4" w:space="0" w:color="auto"/>
              <w:left w:val="single" w:sz="4" w:space="0" w:color="auto"/>
              <w:bottom w:val="single" w:sz="4" w:space="0" w:color="auto"/>
              <w:right w:val="single" w:sz="4" w:space="0" w:color="auto"/>
            </w:tcBorders>
            <w:vAlign w:val="center"/>
            <w:hideMark/>
          </w:tcPr>
          <w:p w14:paraId="4755E4F6" w14:textId="77777777" w:rsidR="008C2837" w:rsidRPr="00EE48FD" w:rsidRDefault="008C2837" w:rsidP="008C2837">
            <w:pPr>
              <w:spacing w:line="240" w:lineRule="auto"/>
              <w:jc w:val="center"/>
              <w:rPr>
                <w:rFonts w:ascii="Times New Roman" w:eastAsia="Times New Roman" w:hAnsi="Times New Roman"/>
                <w:sz w:val="20"/>
                <w:szCs w:val="20"/>
                <w:lang w:val="hr-HR"/>
              </w:rPr>
            </w:pPr>
            <w:r w:rsidRPr="00EE48FD">
              <w:rPr>
                <w:rFonts w:ascii="Times New Roman" w:eastAsia="Times New Roman" w:hAnsi="Times New Roman"/>
                <w:sz w:val="20"/>
                <w:szCs w:val="20"/>
                <w:lang w:val="hr-HR"/>
              </w:rPr>
              <w:t>5</w:t>
            </w:r>
          </w:p>
        </w:tc>
      </w:tr>
      <w:tr w:rsidR="00AE6314" w:rsidRPr="00EE48FD" w14:paraId="59D5FF7F" w14:textId="77777777">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66CA0E23" w14:textId="77777777" w:rsidR="008C2837" w:rsidRPr="00EE48FD" w:rsidRDefault="008C2837" w:rsidP="008C2837">
            <w:pPr>
              <w:spacing w:line="240" w:lineRule="auto"/>
              <w:jc w:val="center"/>
              <w:rPr>
                <w:rFonts w:ascii="Times New Roman" w:eastAsia="Times New Roman" w:hAnsi="Times New Roman"/>
                <w:sz w:val="20"/>
                <w:szCs w:val="20"/>
                <w:lang w:val="hr-HR"/>
              </w:rPr>
            </w:pPr>
            <w:r w:rsidRPr="00EE48FD">
              <w:rPr>
                <w:rFonts w:ascii="Times New Roman" w:eastAsia="Times New Roman" w:hAnsi="Times New Roman"/>
                <w:sz w:val="20"/>
                <w:szCs w:val="20"/>
                <w:lang w:val="hr-HR"/>
              </w:rPr>
              <w:t>4.</w:t>
            </w:r>
          </w:p>
        </w:tc>
        <w:tc>
          <w:tcPr>
            <w:tcW w:w="5810" w:type="dxa"/>
            <w:tcBorders>
              <w:top w:val="single" w:sz="4" w:space="0" w:color="auto"/>
              <w:left w:val="single" w:sz="4" w:space="0" w:color="auto"/>
              <w:bottom w:val="single" w:sz="4" w:space="0" w:color="auto"/>
              <w:right w:val="single" w:sz="4" w:space="0" w:color="auto"/>
            </w:tcBorders>
            <w:vAlign w:val="center"/>
            <w:hideMark/>
          </w:tcPr>
          <w:p w14:paraId="708D43C2" w14:textId="77777777" w:rsidR="008C2837" w:rsidRPr="00EE48FD" w:rsidRDefault="008C2837" w:rsidP="008C2837">
            <w:pPr>
              <w:spacing w:line="240" w:lineRule="auto"/>
              <w:jc w:val="both"/>
              <w:rPr>
                <w:rFonts w:ascii="Times New Roman" w:eastAsia="Times New Roman" w:hAnsi="Times New Roman"/>
                <w:sz w:val="20"/>
                <w:szCs w:val="20"/>
                <w:lang w:val="hr-HR"/>
              </w:rPr>
            </w:pPr>
            <w:r w:rsidRPr="00EE48FD">
              <w:rPr>
                <w:rFonts w:ascii="Times New Roman" w:eastAsia="Times New Roman" w:hAnsi="Times New Roman"/>
                <w:sz w:val="20"/>
                <w:szCs w:val="20"/>
                <w:lang w:val="hr-HR"/>
              </w:rPr>
              <w:t>Obrazovanje, zdravstvena zaštita i socijalna skrb koje posluju kao profitne organizacije</w:t>
            </w:r>
          </w:p>
        </w:tc>
        <w:tc>
          <w:tcPr>
            <w:tcW w:w="1979" w:type="dxa"/>
            <w:tcBorders>
              <w:top w:val="single" w:sz="4" w:space="0" w:color="auto"/>
              <w:left w:val="single" w:sz="4" w:space="0" w:color="auto"/>
              <w:bottom w:val="single" w:sz="4" w:space="0" w:color="auto"/>
              <w:right w:val="single" w:sz="4" w:space="0" w:color="auto"/>
            </w:tcBorders>
            <w:vAlign w:val="center"/>
            <w:hideMark/>
          </w:tcPr>
          <w:p w14:paraId="766D4AA8" w14:textId="77777777" w:rsidR="008C2837" w:rsidRPr="00EE48FD" w:rsidRDefault="008C2837" w:rsidP="008C2837">
            <w:pPr>
              <w:spacing w:line="240" w:lineRule="auto"/>
              <w:jc w:val="center"/>
              <w:rPr>
                <w:rFonts w:ascii="Times New Roman" w:eastAsia="Times New Roman" w:hAnsi="Times New Roman"/>
                <w:sz w:val="20"/>
                <w:szCs w:val="20"/>
                <w:lang w:val="hr-HR"/>
              </w:rPr>
            </w:pPr>
            <w:r w:rsidRPr="00EE48FD">
              <w:rPr>
                <w:rFonts w:ascii="Times New Roman" w:eastAsia="Times New Roman" w:hAnsi="Times New Roman"/>
                <w:sz w:val="20"/>
                <w:szCs w:val="20"/>
                <w:lang w:val="hr-HR"/>
              </w:rPr>
              <w:t>5</w:t>
            </w:r>
          </w:p>
        </w:tc>
      </w:tr>
      <w:tr w:rsidR="00AE6314" w:rsidRPr="00EE48FD" w14:paraId="51139E66" w14:textId="77777777">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01B79DB5" w14:textId="77777777" w:rsidR="008C2837" w:rsidRPr="00EE48FD" w:rsidRDefault="008C2837" w:rsidP="008C2837">
            <w:pPr>
              <w:spacing w:line="240" w:lineRule="auto"/>
              <w:jc w:val="center"/>
              <w:rPr>
                <w:rFonts w:ascii="Times New Roman" w:eastAsia="Times New Roman" w:hAnsi="Times New Roman"/>
                <w:sz w:val="20"/>
                <w:szCs w:val="20"/>
                <w:lang w:val="hr-HR"/>
              </w:rPr>
            </w:pPr>
            <w:r w:rsidRPr="00EE48FD">
              <w:rPr>
                <w:rFonts w:ascii="Times New Roman" w:eastAsia="Times New Roman" w:hAnsi="Times New Roman"/>
                <w:sz w:val="20"/>
                <w:szCs w:val="20"/>
                <w:lang w:val="hr-HR"/>
              </w:rPr>
              <w:t>5.</w:t>
            </w:r>
          </w:p>
        </w:tc>
        <w:tc>
          <w:tcPr>
            <w:tcW w:w="5810" w:type="dxa"/>
            <w:tcBorders>
              <w:top w:val="single" w:sz="4" w:space="0" w:color="auto"/>
              <w:left w:val="single" w:sz="4" w:space="0" w:color="auto"/>
              <w:bottom w:val="single" w:sz="4" w:space="0" w:color="auto"/>
              <w:right w:val="single" w:sz="4" w:space="0" w:color="auto"/>
            </w:tcBorders>
            <w:vAlign w:val="center"/>
            <w:hideMark/>
          </w:tcPr>
          <w:p w14:paraId="7C29D1D0" w14:textId="77777777" w:rsidR="008C2837" w:rsidRPr="00EE48FD" w:rsidRDefault="008C2837" w:rsidP="008C2837">
            <w:pPr>
              <w:spacing w:line="240" w:lineRule="auto"/>
              <w:jc w:val="both"/>
              <w:rPr>
                <w:rFonts w:ascii="Times New Roman" w:eastAsia="Times New Roman" w:hAnsi="Times New Roman"/>
                <w:sz w:val="20"/>
                <w:szCs w:val="20"/>
                <w:lang w:val="hr-HR"/>
              </w:rPr>
            </w:pPr>
            <w:r w:rsidRPr="00EE48FD">
              <w:rPr>
                <w:rFonts w:ascii="Times New Roman" w:eastAsia="Times New Roman" w:hAnsi="Times New Roman"/>
                <w:sz w:val="20"/>
                <w:szCs w:val="20"/>
                <w:lang w:val="hr-HR"/>
              </w:rPr>
              <w:t>Hoteli, moteli, kampovi i apartmanska naselja</w:t>
            </w:r>
          </w:p>
        </w:tc>
        <w:tc>
          <w:tcPr>
            <w:tcW w:w="1979" w:type="dxa"/>
            <w:tcBorders>
              <w:top w:val="single" w:sz="4" w:space="0" w:color="auto"/>
              <w:left w:val="single" w:sz="4" w:space="0" w:color="auto"/>
              <w:bottom w:val="single" w:sz="4" w:space="0" w:color="auto"/>
              <w:right w:val="single" w:sz="4" w:space="0" w:color="auto"/>
            </w:tcBorders>
            <w:vAlign w:val="center"/>
            <w:hideMark/>
          </w:tcPr>
          <w:p w14:paraId="6B630715" w14:textId="77777777" w:rsidR="008C2837" w:rsidRPr="00EE48FD" w:rsidRDefault="008C2837" w:rsidP="008C2837">
            <w:pPr>
              <w:spacing w:line="240" w:lineRule="auto"/>
              <w:jc w:val="center"/>
              <w:rPr>
                <w:rFonts w:ascii="Times New Roman" w:eastAsia="Times New Roman" w:hAnsi="Times New Roman"/>
                <w:sz w:val="20"/>
                <w:szCs w:val="20"/>
                <w:lang w:val="hr-HR"/>
              </w:rPr>
            </w:pPr>
            <w:r w:rsidRPr="00EE48FD">
              <w:rPr>
                <w:rFonts w:ascii="Times New Roman" w:eastAsia="Times New Roman" w:hAnsi="Times New Roman"/>
                <w:sz w:val="20"/>
                <w:szCs w:val="20"/>
                <w:lang w:val="hr-HR"/>
              </w:rPr>
              <w:t>6</w:t>
            </w:r>
          </w:p>
        </w:tc>
      </w:tr>
      <w:tr w:rsidR="00AE6314" w:rsidRPr="00EE48FD" w14:paraId="3EC78DAD" w14:textId="77777777">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78B08CF0" w14:textId="77777777" w:rsidR="008C2837" w:rsidRPr="00EE48FD" w:rsidRDefault="008C2837" w:rsidP="008C2837">
            <w:pPr>
              <w:spacing w:line="240" w:lineRule="auto"/>
              <w:jc w:val="center"/>
              <w:rPr>
                <w:rFonts w:ascii="Times New Roman" w:eastAsia="Times New Roman" w:hAnsi="Times New Roman"/>
                <w:sz w:val="20"/>
                <w:szCs w:val="20"/>
                <w:lang w:val="hr-HR"/>
              </w:rPr>
            </w:pPr>
            <w:r w:rsidRPr="00EE48FD">
              <w:rPr>
                <w:rFonts w:ascii="Times New Roman" w:eastAsia="Times New Roman" w:hAnsi="Times New Roman"/>
                <w:sz w:val="20"/>
                <w:szCs w:val="20"/>
                <w:lang w:val="hr-HR"/>
              </w:rPr>
              <w:t>6.</w:t>
            </w:r>
          </w:p>
        </w:tc>
        <w:tc>
          <w:tcPr>
            <w:tcW w:w="5810" w:type="dxa"/>
            <w:tcBorders>
              <w:top w:val="single" w:sz="4" w:space="0" w:color="auto"/>
              <w:left w:val="single" w:sz="4" w:space="0" w:color="auto"/>
              <w:bottom w:val="single" w:sz="4" w:space="0" w:color="auto"/>
              <w:right w:val="single" w:sz="4" w:space="0" w:color="auto"/>
            </w:tcBorders>
            <w:vAlign w:val="center"/>
            <w:hideMark/>
          </w:tcPr>
          <w:p w14:paraId="281BC3E2" w14:textId="77777777" w:rsidR="008C2837" w:rsidRPr="00EE48FD" w:rsidRDefault="008C2837" w:rsidP="008C2837">
            <w:pPr>
              <w:spacing w:line="240" w:lineRule="auto"/>
              <w:jc w:val="both"/>
              <w:rPr>
                <w:rFonts w:ascii="Times New Roman" w:eastAsia="Times New Roman" w:hAnsi="Times New Roman"/>
                <w:sz w:val="20"/>
                <w:szCs w:val="20"/>
                <w:lang w:val="hr-HR"/>
              </w:rPr>
            </w:pPr>
            <w:r w:rsidRPr="00EE48FD">
              <w:rPr>
                <w:rFonts w:ascii="Times New Roman" w:eastAsia="Times New Roman" w:hAnsi="Times New Roman"/>
                <w:sz w:val="20"/>
                <w:szCs w:val="20"/>
                <w:lang w:val="hr-HR"/>
              </w:rPr>
              <w:t xml:space="preserve">- </w:t>
            </w:r>
            <w:r w:rsidRPr="00EE48FD">
              <w:rPr>
                <w:rFonts w:ascii="Times New Roman" w:eastAsia="Times New Roman" w:hAnsi="Times New Roman"/>
                <w:b/>
                <w:bCs/>
                <w:sz w:val="20"/>
                <w:szCs w:val="20"/>
                <w:lang w:val="hr-HR"/>
              </w:rPr>
              <w:t>Prodavaonice pretežno hranom:</w:t>
            </w:r>
            <w:r w:rsidRPr="00EE48FD">
              <w:rPr>
                <w:rFonts w:ascii="Times New Roman" w:eastAsia="Times New Roman" w:hAnsi="Times New Roman"/>
                <w:sz w:val="20"/>
                <w:szCs w:val="20"/>
                <w:lang w:val="hr-HR"/>
              </w:rPr>
              <w:t xml:space="preserve"> specijalizirane prodavaonice prehrambenih proizvoda</w:t>
            </w:r>
          </w:p>
          <w:p w14:paraId="4C366FC5" w14:textId="77777777" w:rsidR="008C2837" w:rsidRPr="00EE48FD" w:rsidRDefault="008C2837" w:rsidP="008C2837">
            <w:pPr>
              <w:spacing w:line="240" w:lineRule="auto"/>
              <w:jc w:val="both"/>
              <w:rPr>
                <w:rFonts w:ascii="Times New Roman" w:eastAsia="Times New Roman" w:hAnsi="Times New Roman"/>
                <w:sz w:val="20"/>
                <w:szCs w:val="20"/>
                <w:lang w:val="hr-HR"/>
              </w:rPr>
            </w:pPr>
            <w:r w:rsidRPr="00EE48FD">
              <w:rPr>
                <w:rFonts w:ascii="Times New Roman" w:eastAsia="Times New Roman" w:hAnsi="Times New Roman"/>
                <w:sz w:val="20"/>
                <w:szCs w:val="20"/>
                <w:lang w:val="hr-HR"/>
              </w:rPr>
              <w:t>-</w:t>
            </w:r>
            <w:r w:rsidRPr="00EE48FD">
              <w:rPr>
                <w:rFonts w:ascii="Times New Roman" w:eastAsia="Times New Roman" w:hAnsi="Times New Roman"/>
                <w:b/>
                <w:bCs/>
                <w:sz w:val="20"/>
                <w:szCs w:val="20"/>
                <w:lang w:val="hr-HR"/>
              </w:rPr>
              <w:t>Nespecijalizirane prodavaonice pretežno hranom, pićima i duhanskim proizvodima:</w:t>
            </w:r>
            <w:r w:rsidRPr="00EE48FD">
              <w:rPr>
                <w:rFonts w:ascii="Times New Roman" w:eastAsia="Times New Roman" w:hAnsi="Times New Roman"/>
                <w:sz w:val="20"/>
                <w:szCs w:val="20"/>
                <w:lang w:val="hr-HR"/>
              </w:rPr>
              <w:t xml:space="preserve"> klasične prodavaonice, mini marketi, supermarketi, hipermarketi, diskontne prodavaonice, “</w:t>
            </w:r>
            <w:proofErr w:type="spellStart"/>
            <w:r w:rsidRPr="00EE48FD">
              <w:rPr>
                <w:rFonts w:ascii="Times New Roman" w:eastAsia="Times New Roman" w:hAnsi="Times New Roman"/>
                <w:sz w:val="20"/>
                <w:szCs w:val="20"/>
                <w:lang w:val="hr-HR"/>
              </w:rPr>
              <w:t>cash&amp;carry</w:t>
            </w:r>
            <w:proofErr w:type="spellEnd"/>
            <w:r w:rsidRPr="00EE48FD">
              <w:rPr>
                <w:rFonts w:ascii="Times New Roman" w:eastAsia="Times New Roman" w:hAnsi="Times New Roman"/>
                <w:sz w:val="20"/>
                <w:szCs w:val="20"/>
                <w:lang w:val="hr-HR"/>
              </w:rPr>
              <w:t>”, prodavaonice</w:t>
            </w:r>
          </w:p>
          <w:p w14:paraId="5F6ABB05" w14:textId="77777777" w:rsidR="008C2837" w:rsidRPr="00EE48FD" w:rsidRDefault="008C2837" w:rsidP="008C2837">
            <w:pPr>
              <w:spacing w:line="240" w:lineRule="auto"/>
              <w:jc w:val="both"/>
              <w:rPr>
                <w:rFonts w:ascii="Times New Roman" w:eastAsia="Times New Roman" w:hAnsi="Times New Roman"/>
                <w:sz w:val="20"/>
                <w:szCs w:val="20"/>
                <w:lang w:val="hr-HR"/>
              </w:rPr>
            </w:pPr>
            <w:r w:rsidRPr="00EE48FD">
              <w:rPr>
                <w:rFonts w:ascii="Times New Roman" w:eastAsia="Times New Roman" w:hAnsi="Times New Roman"/>
                <w:b/>
                <w:bCs/>
                <w:sz w:val="20"/>
                <w:szCs w:val="20"/>
                <w:lang w:val="hr-HR"/>
              </w:rPr>
              <w:t>-Prodavaonice pretežno neprehrambenih proizvoda:</w:t>
            </w:r>
            <w:r w:rsidRPr="00EE48FD">
              <w:rPr>
                <w:rFonts w:ascii="Times New Roman" w:eastAsia="Times New Roman" w:hAnsi="Times New Roman"/>
                <w:sz w:val="20"/>
                <w:szCs w:val="20"/>
                <w:lang w:val="hr-HR"/>
              </w:rPr>
              <w:t xml:space="preserve"> specijalizirane prodavaonice neprehrambenim proizvodima, nespecijalizirane prodavaonice pretežno neprehrambenim proizvodima, robne kuće, trgovački centri, maloprodajni centri</w:t>
            </w:r>
          </w:p>
        </w:tc>
        <w:tc>
          <w:tcPr>
            <w:tcW w:w="1979" w:type="dxa"/>
            <w:tcBorders>
              <w:top w:val="single" w:sz="4" w:space="0" w:color="auto"/>
              <w:left w:val="single" w:sz="4" w:space="0" w:color="auto"/>
              <w:bottom w:val="single" w:sz="4" w:space="0" w:color="auto"/>
              <w:right w:val="single" w:sz="4" w:space="0" w:color="auto"/>
            </w:tcBorders>
            <w:vAlign w:val="center"/>
          </w:tcPr>
          <w:p w14:paraId="1C95A295" w14:textId="77777777" w:rsidR="008C2837" w:rsidRPr="00EE48FD" w:rsidRDefault="008C2837" w:rsidP="008C2837">
            <w:pPr>
              <w:spacing w:line="240" w:lineRule="auto"/>
              <w:jc w:val="center"/>
              <w:rPr>
                <w:rFonts w:ascii="Times New Roman" w:eastAsia="Times New Roman" w:hAnsi="Times New Roman"/>
                <w:sz w:val="20"/>
                <w:szCs w:val="20"/>
                <w:lang w:val="hr-HR"/>
              </w:rPr>
            </w:pPr>
          </w:p>
          <w:p w14:paraId="338AF9F5" w14:textId="77777777" w:rsidR="008C2837" w:rsidRPr="00EE48FD" w:rsidRDefault="008C2837" w:rsidP="008C2837">
            <w:pPr>
              <w:spacing w:line="240" w:lineRule="auto"/>
              <w:jc w:val="center"/>
              <w:rPr>
                <w:rFonts w:ascii="Times New Roman" w:eastAsia="Times New Roman" w:hAnsi="Times New Roman"/>
                <w:sz w:val="20"/>
                <w:szCs w:val="20"/>
                <w:lang w:val="hr-HR"/>
              </w:rPr>
            </w:pPr>
          </w:p>
          <w:p w14:paraId="75A3FEF2" w14:textId="77777777" w:rsidR="008C2837" w:rsidRPr="00EE48FD" w:rsidRDefault="008C2837" w:rsidP="008C2837">
            <w:pPr>
              <w:spacing w:line="240" w:lineRule="auto"/>
              <w:jc w:val="center"/>
              <w:rPr>
                <w:rFonts w:ascii="Times New Roman" w:eastAsia="Times New Roman" w:hAnsi="Times New Roman"/>
                <w:sz w:val="20"/>
                <w:szCs w:val="20"/>
                <w:lang w:val="hr-HR"/>
              </w:rPr>
            </w:pPr>
          </w:p>
          <w:p w14:paraId="2F788D0A" w14:textId="77777777" w:rsidR="008C2837" w:rsidRPr="00EE48FD" w:rsidRDefault="008C2837" w:rsidP="008C2837">
            <w:pPr>
              <w:spacing w:line="240" w:lineRule="auto"/>
              <w:jc w:val="center"/>
              <w:rPr>
                <w:rFonts w:ascii="Times New Roman" w:eastAsia="Times New Roman" w:hAnsi="Times New Roman"/>
                <w:sz w:val="20"/>
                <w:szCs w:val="20"/>
                <w:lang w:val="hr-HR"/>
              </w:rPr>
            </w:pPr>
            <w:r w:rsidRPr="00EE48FD">
              <w:rPr>
                <w:rFonts w:ascii="Times New Roman" w:eastAsia="Times New Roman" w:hAnsi="Times New Roman"/>
                <w:sz w:val="20"/>
                <w:szCs w:val="20"/>
                <w:lang w:val="hr-HR"/>
              </w:rPr>
              <w:t>8</w:t>
            </w:r>
          </w:p>
        </w:tc>
      </w:tr>
      <w:tr w:rsidR="008C2837" w:rsidRPr="00EE48FD" w14:paraId="33FF9C2E" w14:textId="77777777">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089305E9" w14:textId="77777777" w:rsidR="008C2837" w:rsidRPr="00EE48FD" w:rsidRDefault="008C2837" w:rsidP="008C2837">
            <w:pPr>
              <w:spacing w:line="240" w:lineRule="auto"/>
              <w:jc w:val="center"/>
              <w:rPr>
                <w:rFonts w:ascii="Times New Roman" w:eastAsia="Times New Roman" w:hAnsi="Times New Roman"/>
                <w:sz w:val="20"/>
                <w:szCs w:val="20"/>
                <w:lang w:val="hr-HR"/>
              </w:rPr>
            </w:pPr>
            <w:r w:rsidRPr="00EE48FD">
              <w:rPr>
                <w:rFonts w:ascii="Times New Roman" w:eastAsia="Times New Roman" w:hAnsi="Times New Roman"/>
                <w:sz w:val="20"/>
                <w:szCs w:val="20"/>
                <w:lang w:val="hr-HR"/>
              </w:rPr>
              <w:t>7.</w:t>
            </w:r>
          </w:p>
        </w:tc>
        <w:tc>
          <w:tcPr>
            <w:tcW w:w="5810" w:type="dxa"/>
            <w:tcBorders>
              <w:top w:val="single" w:sz="4" w:space="0" w:color="auto"/>
              <w:left w:val="single" w:sz="4" w:space="0" w:color="auto"/>
              <w:bottom w:val="single" w:sz="4" w:space="0" w:color="auto"/>
              <w:right w:val="single" w:sz="4" w:space="0" w:color="auto"/>
            </w:tcBorders>
            <w:vAlign w:val="center"/>
            <w:hideMark/>
          </w:tcPr>
          <w:p w14:paraId="0B5669E1" w14:textId="4CC32356" w:rsidR="008C2837" w:rsidRPr="00EE48FD" w:rsidRDefault="008C2837" w:rsidP="008C2837">
            <w:pPr>
              <w:spacing w:line="240" w:lineRule="auto"/>
              <w:jc w:val="both"/>
              <w:rPr>
                <w:rFonts w:ascii="Times New Roman" w:eastAsia="Times New Roman" w:hAnsi="Times New Roman"/>
                <w:sz w:val="20"/>
                <w:szCs w:val="20"/>
                <w:lang w:val="hr-HR"/>
              </w:rPr>
            </w:pPr>
            <w:r w:rsidRPr="00EE48FD">
              <w:rPr>
                <w:rFonts w:ascii="Times New Roman" w:eastAsia="Times New Roman" w:hAnsi="Times New Roman"/>
                <w:sz w:val="20"/>
                <w:szCs w:val="20"/>
                <w:lang w:val="hr-HR"/>
              </w:rPr>
              <w:t xml:space="preserve">- poslovni prostori - apartmani za sve poslovne djelatnosti uključivo i boravak osoba (najam, korištenje za vlastite potrebe) </w:t>
            </w:r>
          </w:p>
          <w:p w14:paraId="0D2892FD" w14:textId="77777777" w:rsidR="008C2837" w:rsidRPr="00EE48FD" w:rsidRDefault="008C2837" w:rsidP="008C2837">
            <w:pPr>
              <w:spacing w:line="240" w:lineRule="auto"/>
              <w:jc w:val="both"/>
              <w:rPr>
                <w:rFonts w:ascii="Times New Roman" w:eastAsia="Times New Roman" w:hAnsi="Times New Roman"/>
                <w:sz w:val="20"/>
                <w:szCs w:val="20"/>
                <w:lang w:val="hr-HR"/>
              </w:rPr>
            </w:pPr>
            <w:r w:rsidRPr="00EE48FD">
              <w:rPr>
                <w:rFonts w:ascii="Times New Roman" w:eastAsia="Times New Roman" w:hAnsi="Times New Roman"/>
                <w:sz w:val="20"/>
                <w:szCs w:val="20"/>
                <w:lang w:val="hr-HR"/>
              </w:rPr>
              <w:lastRenderedPageBreak/>
              <w:t>- druge nekretnine koje služe za obavljanje ugostiteljske djelatnosti za pružanje usluga smještaja gostiju, osim hotela, motela, kampova i prostora za obavljanje ugostiteljskih usluga u domaćinstvu</w:t>
            </w:r>
          </w:p>
          <w:p w14:paraId="689BBADD" w14:textId="77777777" w:rsidR="008C2837" w:rsidRPr="00EE48FD" w:rsidRDefault="008C2837" w:rsidP="008C2837">
            <w:pPr>
              <w:spacing w:line="240" w:lineRule="auto"/>
              <w:jc w:val="both"/>
              <w:rPr>
                <w:rFonts w:ascii="Times New Roman" w:eastAsia="Times New Roman" w:hAnsi="Times New Roman"/>
                <w:sz w:val="20"/>
                <w:szCs w:val="20"/>
                <w:lang w:val="hr-HR"/>
              </w:rPr>
            </w:pPr>
            <w:r w:rsidRPr="00EE48FD">
              <w:rPr>
                <w:rFonts w:ascii="Times New Roman" w:eastAsia="Times New Roman" w:hAnsi="Times New Roman"/>
                <w:sz w:val="20"/>
                <w:szCs w:val="20"/>
                <w:lang w:val="hr-HR"/>
              </w:rPr>
              <w:t>- ostale namjene</w:t>
            </w:r>
          </w:p>
        </w:tc>
        <w:tc>
          <w:tcPr>
            <w:tcW w:w="1979" w:type="dxa"/>
            <w:tcBorders>
              <w:top w:val="single" w:sz="4" w:space="0" w:color="auto"/>
              <w:left w:val="single" w:sz="4" w:space="0" w:color="auto"/>
              <w:bottom w:val="single" w:sz="4" w:space="0" w:color="auto"/>
              <w:right w:val="single" w:sz="4" w:space="0" w:color="auto"/>
            </w:tcBorders>
            <w:vAlign w:val="center"/>
            <w:hideMark/>
          </w:tcPr>
          <w:p w14:paraId="395CB103" w14:textId="77777777" w:rsidR="008C2837" w:rsidRPr="00EE48FD" w:rsidRDefault="008C2837" w:rsidP="008C2837">
            <w:pPr>
              <w:spacing w:line="240" w:lineRule="auto"/>
              <w:jc w:val="center"/>
              <w:rPr>
                <w:rFonts w:ascii="Times New Roman" w:eastAsia="Times New Roman" w:hAnsi="Times New Roman"/>
                <w:sz w:val="20"/>
                <w:szCs w:val="20"/>
                <w:lang w:val="hr-HR"/>
              </w:rPr>
            </w:pPr>
            <w:r w:rsidRPr="00EE48FD">
              <w:rPr>
                <w:rFonts w:ascii="Times New Roman" w:eastAsia="Times New Roman" w:hAnsi="Times New Roman"/>
                <w:sz w:val="20"/>
                <w:szCs w:val="20"/>
                <w:lang w:val="hr-HR"/>
              </w:rPr>
              <w:lastRenderedPageBreak/>
              <w:t>10</w:t>
            </w:r>
          </w:p>
        </w:tc>
      </w:tr>
    </w:tbl>
    <w:p w14:paraId="70174D40" w14:textId="77777777" w:rsidR="008C2837" w:rsidRPr="00EE48FD" w:rsidRDefault="008C2837" w:rsidP="008C2837">
      <w:pPr>
        <w:shd w:val="clear" w:color="auto" w:fill="FFFFFF"/>
        <w:spacing w:after="0" w:line="240" w:lineRule="auto"/>
        <w:jc w:val="both"/>
        <w:rPr>
          <w:rFonts w:ascii="Times New Roman" w:eastAsia="Times New Roman" w:hAnsi="Times New Roman" w:cs="Times New Roman"/>
          <w:sz w:val="24"/>
          <w:szCs w:val="24"/>
          <w:lang w:eastAsia="en-GB"/>
        </w:rPr>
      </w:pPr>
    </w:p>
    <w:p w14:paraId="48FB8776" w14:textId="77777777" w:rsidR="008C2837" w:rsidRPr="009F7D6D" w:rsidRDefault="008C2837" w:rsidP="008C2837">
      <w:pPr>
        <w:shd w:val="clear" w:color="auto" w:fill="FFFFFF"/>
        <w:spacing w:after="0" w:line="240" w:lineRule="auto"/>
        <w:jc w:val="both"/>
        <w:rPr>
          <w:rFonts w:ascii="Times New Roman" w:eastAsia="Times New Roman" w:hAnsi="Times New Roman" w:cs="Times New Roman"/>
          <w:sz w:val="24"/>
          <w:szCs w:val="24"/>
          <w:lang w:val="hr-HR" w:eastAsia="en-GB"/>
        </w:rPr>
      </w:pPr>
      <w:r w:rsidRPr="009F7D6D">
        <w:rPr>
          <w:rFonts w:ascii="Times New Roman" w:eastAsia="Times New Roman" w:hAnsi="Times New Roman" w:cs="Times New Roman"/>
          <w:sz w:val="24"/>
          <w:szCs w:val="24"/>
          <w:lang w:val="hr-HR" w:eastAsia="en-GB"/>
        </w:rPr>
        <w:t>(2) Za građevinsko zemljište koje služi u svrhu obavljanja poslovne djelatnosti bilo kao samostalno odvojeno zemljište ili kao građevinsko zemljište koje je otvoreni prostor u kojem se obavlja djelatnost pripadajućeg zatvorenog poslovnog prostora, koeficijent namjene iznosi 10% koeficijenta namjene koji je određen za poslovni prostor temeljem stavka 1. ovog članka.</w:t>
      </w:r>
    </w:p>
    <w:p w14:paraId="74889367" w14:textId="77777777" w:rsidR="008C2837" w:rsidRPr="009F7D6D" w:rsidRDefault="008C2837" w:rsidP="008C2837">
      <w:pPr>
        <w:shd w:val="clear" w:color="auto" w:fill="FFFFFF"/>
        <w:spacing w:after="0" w:line="240" w:lineRule="auto"/>
        <w:jc w:val="both"/>
        <w:rPr>
          <w:rFonts w:ascii="Times New Roman" w:eastAsia="Times New Roman" w:hAnsi="Times New Roman" w:cs="Times New Roman"/>
          <w:sz w:val="24"/>
          <w:szCs w:val="24"/>
          <w:lang w:val="hr-HR" w:eastAsia="en-GB"/>
        </w:rPr>
      </w:pPr>
      <w:r w:rsidRPr="009F7D6D">
        <w:rPr>
          <w:rFonts w:ascii="Times New Roman" w:eastAsia="Times New Roman" w:hAnsi="Times New Roman" w:cs="Times New Roman"/>
          <w:sz w:val="24"/>
          <w:szCs w:val="24"/>
          <w:lang w:val="hr-HR" w:eastAsia="en-GB"/>
        </w:rPr>
        <w:t>(3) Za poslovne prostore iz stavka 1., grupe 1. do 6., ovog članka za koje nije udovoljeno uvjetima da se u istima može obavljati bilo kakvu registriranu djelatnost, a nisu prenamijenjeni niti u stambeni prostor niti u garažu, koeficijent namjene iznosi “1.</w:t>
      </w:r>
    </w:p>
    <w:p w14:paraId="368BD8F2" w14:textId="77777777" w:rsidR="008C2837" w:rsidRPr="00EE48FD" w:rsidRDefault="008C2837" w:rsidP="008C2837">
      <w:pPr>
        <w:shd w:val="clear" w:color="auto" w:fill="FFFFFF"/>
        <w:spacing w:after="0" w:line="240" w:lineRule="auto"/>
        <w:rPr>
          <w:rFonts w:ascii="Times New Roman" w:eastAsia="Times New Roman" w:hAnsi="Times New Roman" w:cs="Times New Roman"/>
          <w:b/>
          <w:bCs/>
          <w:sz w:val="24"/>
          <w:szCs w:val="24"/>
          <w:lang w:eastAsia="en-GB"/>
        </w:rPr>
      </w:pPr>
    </w:p>
    <w:p w14:paraId="2E0E7F93" w14:textId="77777777" w:rsidR="008C2837" w:rsidRPr="00EE48FD" w:rsidRDefault="008C2837" w:rsidP="008C2837">
      <w:pPr>
        <w:shd w:val="clear" w:color="auto" w:fill="FFFFFF"/>
        <w:spacing w:after="0" w:line="240" w:lineRule="auto"/>
        <w:rPr>
          <w:rFonts w:ascii="Times New Roman" w:eastAsia="Times New Roman" w:hAnsi="Times New Roman" w:cs="Times New Roman"/>
          <w:b/>
          <w:bCs/>
          <w:sz w:val="24"/>
          <w:szCs w:val="24"/>
          <w:lang w:eastAsia="en-GB"/>
        </w:rPr>
      </w:pPr>
    </w:p>
    <w:p w14:paraId="7D410510" w14:textId="77777777" w:rsidR="008C2837" w:rsidRPr="00EE48FD" w:rsidRDefault="008C2837" w:rsidP="008C2837">
      <w:pPr>
        <w:shd w:val="clear" w:color="auto" w:fill="FFFFFF"/>
        <w:spacing w:after="0" w:line="240" w:lineRule="auto"/>
        <w:rPr>
          <w:rFonts w:ascii="Times New Roman" w:eastAsia="Times New Roman" w:hAnsi="Times New Roman" w:cs="Times New Roman"/>
          <w:b/>
          <w:bCs/>
          <w:sz w:val="24"/>
          <w:szCs w:val="24"/>
          <w:lang w:val="pl-PL" w:eastAsia="en-GB"/>
        </w:rPr>
      </w:pPr>
      <w:r w:rsidRPr="00EE48FD">
        <w:rPr>
          <w:rFonts w:ascii="Times New Roman" w:eastAsia="Times New Roman" w:hAnsi="Times New Roman" w:cs="Times New Roman"/>
          <w:b/>
          <w:bCs/>
          <w:sz w:val="24"/>
          <w:szCs w:val="24"/>
          <w:lang w:val="pl-PL" w:eastAsia="en-GB"/>
        </w:rPr>
        <w:t>NAČIN UTVRĐIVANJA KOMUNALNE NAKNADE</w:t>
      </w:r>
    </w:p>
    <w:p w14:paraId="426C2EC6" w14:textId="77777777" w:rsidR="008C2837" w:rsidRPr="00EE48FD" w:rsidRDefault="008C2837" w:rsidP="008C2837">
      <w:pPr>
        <w:shd w:val="clear" w:color="auto" w:fill="FFFFFF"/>
        <w:spacing w:after="0" w:line="240" w:lineRule="auto"/>
        <w:rPr>
          <w:rFonts w:ascii="Times New Roman" w:eastAsia="Times New Roman" w:hAnsi="Times New Roman" w:cs="Times New Roman"/>
          <w:sz w:val="24"/>
          <w:szCs w:val="24"/>
          <w:lang w:val="pl-PL" w:eastAsia="en-GB"/>
        </w:rPr>
      </w:pPr>
    </w:p>
    <w:p w14:paraId="4B4B346D" w14:textId="77777777" w:rsidR="008C2837" w:rsidRPr="00EE48FD" w:rsidRDefault="008C2837" w:rsidP="008C2837">
      <w:pPr>
        <w:shd w:val="clear" w:color="auto" w:fill="FFFFFF"/>
        <w:spacing w:after="0" w:line="240" w:lineRule="auto"/>
        <w:jc w:val="center"/>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Članak 6.</w:t>
      </w:r>
    </w:p>
    <w:p w14:paraId="1F2712EA" w14:textId="77777777" w:rsidR="008C2837" w:rsidRPr="00EE48FD" w:rsidRDefault="008C2837" w:rsidP="008C2837">
      <w:pPr>
        <w:shd w:val="clear" w:color="auto" w:fill="FFFFFF"/>
        <w:spacing w:after="0" w:line="240" w:lineRule="auto"/>
        <w:jc w:val="center"/>
        <w:rPr>
          <w:rFonts w:ascii="Times New Roman" w:eastAsia="Times New Roman" w:hAnsi="Times New Roman" w:cs="Times New Roman"/>
          <w:sz w:val="24"/>
          <w:szCs w:val="24"/>
          <w:lang w:val="pl-PL" w:eastAsia="en-GB"/>
        </w:rPr>
      </w:pPr>
    </w:p>
    <w:p w14:paraId="390D6244" w14:textId="60C56F89" w:rsidR="008C2837" w:rsidRPr="00EE48FD" w:rsidRDefault="008C2837" w:rsidP="008C2837">
      <w:pPr>
        <w:shd w:val="clear" w:color="auto" w:fill="FFFFFF"/>
        <w:spacing w:after="0" w:line="240" w:lineRule="auto"/>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(1) Komunalna naknada obračunava se po četvornom metru površine nekretnine u iznosu koji se utvrđuje umnoškom koeficijenta zone (Kz), koeficijenta namjene (Kn) i vrijednosti boda komunalne naknade (B).</w:t>
      </w:r>
    </w:p>
    <w:p w14:paraId="517F9A93" w14:textId="77777777" w:rsidR="008C2837" w:rsidRPr="00EE48FD" w:rsidRDefault="008C2837" w:rsidP="008C2837">
      <w:pPr>
        <w:shd w:val="clear" w:color="auto" w:fill="FFFFFF"/>
        <w:spacing w:after="0" w:line="240" w:lineRule="auto"/>
        <w:jc w:val="both"/>
        <w:rPr>
          <w:rFonts w:ascii="Times New Roman" w:eastAsia="Times New Roman" w:hAnsi="Times New Roman" w:cs="Times New Roman"/>
          <w:sz w:val="24"/>
          <w:szCs w:val="24"/>
          <w:lang w:eastAsia="en-GB"/>
        </w:rPr>
      </w:pPr>
      <w:r w:rsidRPr="00EE48FD">
        <w:rPr>
          <w:rFonts w:ascii="Times New Roman" w:eastAsia="Times New Roman" w:hAnsi="Times New Roman" w:cs="Times New Roman"/>
          <w:sz w:val="24"/>
          <w:szCs w:val="24"/>
          <w:lang w:eastAsia="en-GB"/>
        </w:rPr>
        <w:t xml:space="preserve">(2) </w:t>
      </w:r>
      <w:proofErr w:type="spellStart"/>
      <w:r w:rsidRPr="00EE48FD">
        <w:rPr>
          <w:rFonts w:ascii="Times New Roman" w:eastAsia="Times New Roman" w:hAnsi="Times New Roman" w:cs="Times New Roman"/>
          <w:sz w:val="24"/>
          <w:szCs w:val="24"/>
          <w:lang w:eastAsia="en-GB"/>
        </w:rPr>
        <w:t>Godišnji</w:t>
      </w:r>
      <w:proofErr w:type="spellEnd"/>
      <w:r w:rsidRPr="00EE48FD">
        <w:rPr>
          <w:rFonts w:ascii="Times New Roman" w:eastAsia="Times New Roman" w:hAnsi="Times New Roman" w:cs="Times New Roman"/>
          <w:sz w:val="24"/>
          <w:szCs w:val="24"/>
          <w:lang w:eastAsia="en-GB"/>
        </w:rPr>
        <w:t xml:space="preserve"> </w:t>
      </w:r>
      <w:proofErr w:type="spellStart"/>
      <w:r w:rsidRPr="00EE48FD">
        <w:rPr>
          <w:rFonts w:ascii="Times New Roman" w:eastAsia="Times New Roman" w:hAnsi="Times New Roman" w:cs="Times New Roman"/>
          <w:sz w:val="24"/>
          <w:szCs w:val="24"/>
          <w:lang w:eastAsia="en-GB"/>
        </w:rPr>
        <w:t>iznos</w:t>
      </w:r>
      <w:proofErr w:type="spellEnd"/>
      <w:r w:rsidRPr="00EE48FD">
        <w:rPr>
          <w:rFonts w:ascii="Times New Roman" w:eastAsia="Times New Roman" w:hAnsi="Times New Roman" w:cs="Times New Roman"/>
          <w:sz w:val="24"/>
          <w:szCs w:val="24"/>
          <w:lang w:eastAsia="en-GB"/>
        </w:rPr>
        <w:t xml:space="preserve"> </w:t>
      </w:r>
      <w:proofErr w:type="spellStart"/>
      <w:r w:rsidRPr="00EE48FD">
        <w:rPr>
          <w:rFonts w:ascii="Times New Roman" w:eastAsia="Times New Roman" w:hAnsi="Times New Roman" w:cs="Times New Roman"/>
          <w:sz w:val="24"/>
          <w:szCs w:val="24"/>
          <w:lang w:eastAsia="en-GB"/>
        </w:rPr>
        <w:t>komunalne</w:t>
      </w:r>
      <w:proofErr w:type="spellEnd"/>
      <w:r w:rsidRPr="00EE48FD">
        <w:rPr>
          <w:rFonts w:ascii="Times New Roman" w:eastAsia="Times New Roman" w:hAnsi="Times New Roman" w:cs="Times New Roman"/>
          <w:sz w:val="24"/>
          <w:szCs w:val="24"/>
          <w:lang w:eastAsia="en-GB"/>
        </w:rPr>
        <w:t xml:space="preserve"> </w:t>
      </w:r>
      <w:proofErr w:type="spellStart"/>
      <w:r w:rsidRPr="00EE48FD">
        <w:rPr>
          <w:rFonts w:ascii="Times New Roman" w:eastAsia="Times New Roman" w:hAnsi="Times New Roman" w:cs="Times New Roman"/>
          <w:sz w:val="24"/>
          <w:szCs w:val="24"/>
          <w:lang w:eastAsia="en-GB"/>
        </w:rPr>
        <w:t>naknade</w:t>
      </w:r>
      <w:proofErr w:type="spellEnd"/>
      <w:r w:rsidRPr="00EE48FD">
        <w:rPr>
          <w:rFonts w:ascii="Times New Roman" w:eastAsia="Times New Roman" w:hAnsi="Times New Roman" w:cs="Times New Roman"/>
          <w:sz w:val="24"/>
          <w:szCs w:val="24"/>
          <w:lang w:eastAsia="en-GB"/>
        </w:rPr>
        <w:t xml:space="preserve"> </w:t>
      </w:r>
      <w:proofErr w:type="spellStart"/>
      <w:r w:rsidRPr="00EE48FD">
        <w:rPr>
          <w:rFonts w:ascii="Times New Roman" w:eastAsia="Times New Roman" w:hAnsi="Times New Roman" w:cs="Times New Roman"/>
          <w:sz w:val="24"/>
          <w:szCs w:val="24"/>
          <w:lang w:eastAsia="en-GB"/>
        </w:rPr>
        <w:t>predstavlja</w:t>
      </w:r>
      <w:proofErr w:type="spellEnd"/>
      <w:r w:rsidRPr="00EE48FD">
        <w:rPr>
          <w:rFonts w:ascii="Times New Roman" w:eastAsia="Times New Roman" w:hAnsi="Times New Roman" w:cs="Times New Roman"/>
          <w:sz w:val="24"/>
          <w:szCs w:val="24"/>
          <w:lang w:eastAsia="en-GB"/>
        </w:rPr>
        <w:t xml:space="preserve"> </w:t>
      </w:r>
      <w:proofErr w:type="spellStart"/>
      <w:r w:rsidRPr="00EE48FD">
        <w:rPr>
          <w:rFonts w:ascii="Times New Roman" w:eastAsia="Times New Roman" w:hAnsi="Times New Roman" w:cs="Times New Roman"/>
          <w:sz w:val="24"/>
          <w:szCs w:val="24"/>
          <w:lang w:eastAsia="en-GB"/>
        </w:rPr>
        <w:t>umnožak</w:t>
      </w:r>
      <w:proofErr w:type="spellEnd"/>
      <w:r w:rsidRPr="00EE48FD">
        <w:rPr>
          <w:rFonts w:ascii="Times New Roman" w:eastAsia="Times New Roman" w:hAnsi="Times New Roman" w:cs="Times New Roman"/>
          <w:sz w:val="24"/>
          <w:szCs w:val="24"/>
          <w:lang w:eastAsia="en-GB"/>
        </w:rPr>
        <w:t xml:space="preserve"> </w:t>
      </w:r>
      <w:proofErr w:type="spellStart"/>
      <w:r w:rsidRPr="00EE48FD">
        <w:rPr>
          <w:rFonts w:ascii="Times New Roman" w:eastAsia="Times New Roman" w:hAnsi="Times New Roman" w:cs="Times New Roman"/>
          <w:sz w:val="24"/>
          <w:szCs w:val="24"/>
          <w:lang w:eastAsia="en-GB"/>
        </w:rPr>
        <w:t>površine</w:t>
      </w:r>
      <w:proofErr w:type="spellEnd"/>
      <w:r w:rsidRPr="00EE48FD">
        <w:rPr>
          <w:rFonts w:ascii="Times New Roman" w:eastAsia="Times New Roman" w:hAnsi="Times New Roman" w:cs="Times New Roman"/>
          <w:sz w:val="24"/>
          <w:szCs w:val="24"/>
          <w:lang w:eastAsia="en-GB"/>
        </w:rPr>
        <w:t xml:space="preserve"> </w:t>
      </w:r>
      <w:proofErr w:type="spellStart"/>
      <w:r w:rsidRPr="00EE48FD">
        <w:rPr>
          <w:rFonts w:ascii="Times New Roman" w:eastAsia="Times New Roman" w:hAnsi="Times New Roman" w:cs="Times New Roman"/>
          <w:sz w:val="24"/>
          <w:szCs w:val="24"/>
          <w:lang w:eastAsia="en-GB"/>
        </w:rPr>
        <w:t>nekretnine</w:t>
      </w:r>
      <w:proofErr w:type="spellEnd"/>
      <w:r w:rsidRPr="00EE48FD">
        <w:rPr>
          <w:rFonts w:ascii="Times New Roman" w:eastAsia="Times New Roman" w:hAnsi="Times New Roman" w:cs="Times New Roman"/>
          <w:sz w:val="24"/>
          <w:szCs w:val="24"/>
          <w:lang w:eastAsia="en-GB"/>
        </w:rPr>
        <w:t xml:space="preserve"> </w:t>
      </w:r>
      <w:proofErr w:type="spellStart"/>
      <w:r w:rsidRPr="00EE48FD">
        <w:rPr>
          <w:rFonts w:ascii="Times New Roman" w:eastAsia="Times New Roman" w:hAnsi="Times New Roman" w:cs="Times New Roman"/>
          <w:sz w:val="24"/>
          <w:szCs w:val="24"/>
          <w:lang w:eastAsia="en-GB"/>
        </w:rPr>
        <w:t>i</w:t>
      </w:r>
      <w:proofErr w:type="spellEnd"/>
      <w:r w:rsidRPr="00EE48FD">
        <w:rPr>
          <w:rFonts w:ascii="Times New Roman" w:eastAsia="Times New Roman" w:hAnsi="Times New Roman" w:cs="Times New Roman"/>
          <w:sz w:val="24"/>
          <w:szCs w:val="24"/>
          <w:lang w:eastAsia="en-GB"/>
        </w:rPr>
        <w:t xml:space="preserve"> </w:t>
      </w:r>
      <w:proofErr w:type="spellStart"/>
      <w:r w:rsidRPr="00EE48FD">
        <w:rPr>
          <w:rFonts w:ascii="Times New Roman" w:eastAsia="Times New Roman" w:hAnsi="Times New Roman" w:cs="Times New Roman"/>
          <w:sz w:val="24"/>
          <w:szCs w:val="24"/>
          <w:lang w:eastAsia="en-GB"/>
        </w:rPr>
        <w:t>iznosa</w:t>
      </w:r>
      <w:proofErr w:type="spellEnd"/>
      <w:r w:rsidRPr="00EE48FD">
        <w:rPr>
          <w:rFonts w:ascii="Times New Roman" w:eastAsia="Times New Roman" w:hAnsi="Times New Roman" w:cs="Times New Roman"/>
          <w:sz w:val="24"/>
          <w:szCs w:val="24"/>
          <w:lang w:eastAsia="en-GB"/>
        </w:rPr>
        <w:t xml:space="preserve"> </w:t>
      </w:r>
      <w:proofErr w:type="spellStart"/>
      <w:r w:rsidRPr="00EE48FD">
        <w:rPr>
          <w:rFonts w:ascii="Times New Roman" w:eastAsia="Times New Roman" w:hAnsi="Times New Roman" w:cs="Times New Roman"/>
          <w:sz w:val="24"/>
          <w:szCs w:val="24"/>
          <w:lang w:eastAsia="en-GB"/>
        </w:rPr>
        <w:t>komunalne</w:t>
      </w:r>
      <w:proofErr w:type="spellEnd"/>
      <w:r w:rsidRPr="00EE48FD">
        <w:rPr>
          <w:rFonts w:ascii="Times New Roman" w:eastAsia="Times New Roman" w:hAnsi="Times New Roman" w:cs="Times New Roman"/>
          <w:sz w:val="24"/>
          <w:szCs w:val="24"/>
          <w:lang w:eastAsia="en-GB"/>
        </w:rPr>
        <w:t xml:space="preserve"> </w:t>
      </w:r>
      <w:proofErr w:type="spellStart"/>
      <w:r w:rsidRPr="00EE48FD">
        <w:rPr>
          <w:rFonts w:ascii="Times New Roman" w:eastAsia="Times New Roman" w:hAnsi="Times New Roman" w:cs="Times New Roman"/>
          <w:sz w:val="24"/>
          <w:szCs w:val="24"/>
          <w:lang w:eastAsia="en-GB"/>
        </w:rPr>
        <w:t>naknade</w:t>
      </w:r>
      <w:proofErr w:type="spellEnd"/>
      <w:r w:rsidRPr="00EE48FD">
        <w:rPr>
          <w:rFonts w:ascii="Times New Roman" w:eastAsia="Times New Roman" w:hAnsi="Times New Roman" w:cs="Times New Roman"/>
          <w:sz w:val="24"/>
          <w:szCs w:val="24"/>
          <w:lang w:eastAsia="en-GB"/>
        </w:rPr>
        <w:t xml:space="preserve"> po </w:t>
      </w:r>
      <w:proofErr w:type="spellStart"/>
      <w:r w:rsidRPr="00EE48FD">
        <w:rPr>
          <w:rFonts w:ascii="Times New Roman" w:eastAsia="Times New Roman" w:hAnsi="Times New Roman" w:cs="Times New Roman"/>
          <w:sz w:val="24"/>
          <w:szCs w:val="24"/>
          <w:lang w:eastAsia="en-GB"/>
        </w:rPr>
        <w:t>četvornom</w:t>
      </w:r>
      <w:proofErr w:type="spellEnd"/>
      <w:r w:rsidRPr="00EE48FD">
        <w:rPr>
          <w:rFonts w:ascii="Times New Roman" w:eastAsia="Times New Roman" w:hAnsi="Times New Roman" w:cs="Times New Roman"/>
          <w:sz w:val="24"/>
          <w:szCs w:val="24"/>
          <w:lang w:eastAsia="en-GB"/>
        </w:rPr>
        <w:t xml:space="preserve"> </w:t>
      </w:r>
      <w:proofErr w:type="spellStart"/>
      <w:r w:rsidRPr="00EE48FD">
        <w:rPr>
          <w:rFonts w:ascii="Times New Roman" w:eastAsia="Times New Roman" w:hAnsi="Times New Roman" w:cs="Times New Roman"/>
          <w:sz w:val="24"/>
          <w:szCs w:val="24"/>
          <w:lang w:eastAsia="en-GB"/>
        </w:rPr>
        <w:t>metru</w:t>
      </w:r>
      <w:proofErr w:type="spellEnd"/>
      <w:r w:rsidRPr="00EE48FD">
        <w:rPr>
          <w:rFonts w:ascii="Times New Roman" w:eastAsia="Times New Roman" w:hAnsi="Times New Roman" w:cs="Times New Roman"/>
          <w:sz w:val="24"/>
          <w:szCs w:val="24"/>
          <w:lang w:eastAsia="en-GB"/>
        </w:rPr>
        <w:t xml:space="preserve"> m</w:t>
      </w:r>
      <w:r w:rsidRPr="00EE48FD">
        <w:rPr>
          <w:rFonts w:ascii="Times New Roman" w:eastAsia="Times New Roman" w:hAnsi="Times New Roman" w:cs="Times New Roman"/>
          <w:sz w:val="24"/>
          <w:szCs w:val="24"/>
          <w:vertAlign w:val="superscript"/>
          <w:lang w:eastAsia="en-GB"/>
        </w:rPr>
        <w:t>2</w:t>
      </w:r>
      <w:r w:rsidRPr="00EE48FD">
        <w:rPr>
          <w:rFonts w:ascii="Times New Roman" w:eastAsia="Times New Roman" w:hAnsi="Times New Roman" w:cs="Times New Roman"/>
          <w:sz w:val="24"/>
          <w:szCs w:val="24"/>
          <w:lang w:eastAsia="en-GB"/>
        </w:rPr>
        <w:t> </w:t>
      </w:r>
      <w:proofErr w:type="spellStart"/>
      <w:r w:rsidRPr="00EE48FD">
        <w:rPr>
          <w:rFonts w:ascii="Times New Roman" w:eastAsia="Times New Roman" w:hAnsi="Times New Roman" w:cs="Times New Roman"/>
          <w:sz w:val="24"/>
          <w:szCs w:val="24"/>
          <w:lang w:eastAsia="en-GB"/>
        </w:rPr>
        <w:t>iz</w:t>
      </w:r>
      <w:proofErr w:type="spellEnd"/>
      <w:r w:rsidRPr="00EE48FD">
        <w:rPr>
          <w:rFonts w:ascii="Times New Roman" w:eastAsia="Times New Roman" w:hAnsi="Times New Roman" w:cs="Times New Roman"/>
          <w:sz w:val="24"/>
          <w:szCs w:val="24"/>
          <w:lang w:eastAsia="en-GB"/>
        </w:rPr>
        <w:t xml:space="preserve"> </w:t>
      </w:r>
      <w:proofErr w:type="spellStart"/>
      <w:r w:rsidRPr="00EE48FD">
        <w:rPr>
          <w:rFonts w:ascii="Times New Roman" w:eastAsia="Times New Roman" w:hAnsi="Times New Roman" w:cs="Times New Roman"/>
          <w:sz w:val="24"/>
          <w:szCs w:val="24"/>
          <w:lang w:eastAsia="en-GB"/>
        </w:rPr>
        <w:t>stavka</w:t>
      </w:r>
      <w:proofErr w:type="spellEnd"/>
      <w:r w:rsidRPr="00EE48FD">
        <w:rPr>
          <w:rFonts w:ascii="Times New Roman" w:eastAsia="Times New Roman" w:hAnsi="Times New Roman" w:cs="Times New Roman"/>
          <w:sz w:val="24"/>
          <w:szCs w:val="24"/>
          <w:lang w:eastAsia="en-GB"/>
        </w:rPr>
        <w:t xml:space="preserve"> </w:t>
      </w:r>
      <w:proofErr w:type="gramStart"/>
      <w:r w:rsidRPr="00EE48FD">
        <w:rPr>
          <w:rFonts w:ascii="Times New Roman" w:eastAsia="Times New Roman" w:hAnsi="Times New Roman" w:cs="Times New Roman"/>
          <w:sz w:val="24"/>
          <w:szCs w:val="24"/>
          <w:lang w:eastAsia="en-GB"/>
        </w:rPr>
        <w:t>1.ovog</w:t>
      </w:r>
      <w:proofErr w:type="gramEnd"/>
      <w:r w:rsidRPr="00EE48FD">
        <w:rPr>
          <w:rFonts w:ascii="Times New Roman" w:eastAsia="Times New Roman" w:hAnsi="Times New Roman" w:cs="Times New Roman"/>
          <w:sz w:val="24"/>
          <w:szCs w:val="24"/>
          <w:lang w:eastAsia="en-GB"/>
        </w:rPr>
        <w:t xml:space="preserve"> </w:t>
      </w:r>
      <w:proofErr w:type="spellStart"/>
      <w:r w:rsidRPr="00EE48FD">
        <w:rPr>
          <w:rFonts w:ascii="Times New Roman" w:eastAsia="Times New Roman" w:hAnsi="Times New Roman" w:cs="Times New Roman"/>
          <w:sz w:val="24"/>
          <w:szCs w:val="24"/>
          <w:lang w:eastAsia="en-GB"/>
        </w:rPr>
        <w:t>članka</w:t>
      </w:r>
      <w:proofErr w:type="spellEnd"/>
      <w:r w:rsidRPr="00EE48FD">
        <w:rPr>
          <w:rFonts w:ascii="Times New Roman" w:eastAsia="Times New Roman" w:hAnsi="Times New Roman" w:cs="Times New Roman"/>
          <w:sz w:val="24"/>
          <w:szCs w:val="24"/>
          <w:lang w:eastAsia="en-GB"/>
        </w:rPr>
        <w:t>.</w:t>
      </w:r>
    </w:p>
    <w:p w14:paraId="2759EB5F" w14:textId="77777777" w:rsidR="008C2837" w:rsidRPr="00EE48FD" w:rsidRDefault="008C2837" w:rsidP="008C2837">
      <w:pPr>
        <w:shd w:val="clear" w:color="auto" w:fill="FFFFFF"/>
        <w:spacing w:after="0" w:line="240" w:lineRule="auto"/>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(3) Komunalna naknada utvrđuje se rješenjem koje donosi upravno tijelo Grada Opatije nadležno za poslove utvrđivanja komunalne naknade.</w:t>
      </w:r>
    </w:p>
    <w:p w14:paraId="3FA7598D" w14:textId="77777777" w:rsidR="008C2837" w:rsidRPr="00EE48FD" w:rsidRDefault="008C2837" w:rsidP="008C2837">
      <w:pPr>
        <w:shd w:val="clear" w:color="auto" w:fill="FFFFFF"/>
        <w:spacing w:after="0" w:line="240" w:lineRule="auto"/>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(4) Rješenje o komunalnoj naknadi ostaje na snazi do promjene podataka bitnih za utvrđivanje ili visinu obveze.</w:t>
      </w:r>
    </w:p>
    <w:p w14:paraId="12235F5A" w14:textId="77777777" w:rsidR="008C2837" w:rsidRPr="00EE48FD" w:rsidRDefault="008C2837" w:rsidP="008C2837">
      <w:pPr>
        <w:shd w:val="clear" w:color="auto" w:fill="FFFFFF"/>
        <w:spacing w:after="0" w:line="240" w:lineRule="auto"/>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(5) Izuzetno od stavka 4., za hotele, turistička naselja, kampove i golf igrališta na području Grada Opatije komunalna naknada utvrđuje se za svaku kalendarsku godinu najkasnije do 31. ožujka tekuće godine.</w:t>
      </w:r>
    </w:p>
    <w:p w14:paraId="720DAD19" w14:textId="77777777" w:rsidR="008C2837" w:rsidRPr="00EE48FD" w:rsidRDefault="008C2837" w:rsidP="008C2837">
      <w:pPr>
        <w:shd w:val="clear" w:color="auto" w:fill="FFFFFF"/>
        <w:spacing w:after="0" w:line="240" w:lineRule="auto"/>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(6) Ukoliko ima više obveznika plaćanja komunalne naknade za istu nekretninu, rješenjem se utvrđuje obveza komunalne naknade za svakog obveznika zasebno, razmjerno njegovom udjelu u nekretnini.</w:t>
      </w:r>
    </w:p>
    <w:p w14:paraId="11B69B23" w14:textId="77777777" w:rsidR="008C2837" w:rsidRPr="00EE48FD" w:rsidRDefault="008C2837" w:rsidP="008C2837">
      <w:pPr>
        <w:shd w:val="clear" w:color="auto" w:fill="FFFFFF"/>
        <w:spacing w:after="0" w:line="240" w:lineRule="auto"/>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(7) Komunalna naknada za dio godine u kojoj je obveza nastala, obračunava se na način da se ukupni iznos komunalne naknade za cijelu godinu, podijeli sa ukupnim brojem dana u godini i pomnoži sa brojem dana u godini od dana nastanka obveze.</w:t>
      </w:r>
    </w:p>
    <w:p w14:paraId="256A355B" w14:textId="77777777" w:rsidR="008C2837" w:rsidRPr="00EE48FD" w:rsidRDefault="008C2837" w:rsidP="008C2837">
      <w:pPr>
        <w:shd w:val="clear" w:color="auto" w:fill="FFFFFF"/>
        <w:spacing w:after="0" w:line="240" w:lineRule="auto"/>
        <w:jc w:val="center"/>
        <w:rPr>
          <w:rFonts w:ascii="Times New Roman" w:eastAsia="Times New Roman" w:hAnsi="Times New Roman" w:cs="Times New Roman"/>
          <w:sz w:val="24"/>
          <w:szCs w:val="24"/>
          <w:lang w:val="pl-PL" w:eastAsia="en-GB"/>
        </w:rPr>
      </w:pPr>
    </w:p>
    <w:p w14:paraId="768D9AE7" w14:textId="77777777" w:rsidR="008C2837" w:rsidRPr="00EE48FD" w:rsidRDefault="008C2837" w:rsidP="008C2837">
      <w:pPr>
        <w:shd w:val="clear" w:color="auto" w:fill="FFFFFF"/>
        <w:spacing w:after="0" w:line="240" w:lineRule="auto"/>
        <w:jc w:val="center"/>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Članak 7.</w:t>
      </w:r>
    </w:p>
    <w:p w14:paraId="317C8E9F" w14:textId="77777777" w:rsidR="008C2837" w:rsidRPr="00EE48FD" w:rsidRDefault="008C2837" w:rsidP="008C2837">
      <w:pPr>
        <w:shd w:val="clear" w:color="auto" w:fill="FFFFFF"/>
        <w:spacing w:after="0" w:line="240" w:lineRule="auto"/>
        <w:jc w:val="center"/>
        <w:rPr>
          <w:rFonts w:ascii="Times New Roman" w:eastAsia="Times New Roman" w:hAnsi="Times New Roman" w:cs="Times New Roman"/>
          <w:sz w:val="24"/>
          <w:szCs w:val="24"/>
          <w:lang w:val="pl-PL" w:eastAsia="en-GB"/>
        </w:rPr>
      </w:pPr>
    </w:p>
    <w:p w14:paraId="12784999" w14:textId="77777777" w:rsidR="008C2837" w:rsidRPr="00EE48FD" w:rsidRDefault="008C2837" w:rsidP="008C2837">
      <w:pPr>
        <w:shd w:val="clear" w:color="auto" w:fill="FFFFFF"/>
        <w:spacing w:after="0" w:line="240" w:lineRule="auto"/>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(1) U slučaju kada se u tekućoj godini utvrđuje da je obveza plaćanja komunalne naknade nastala ranijih godina, zasebnim se rješenjem utvrđuje obveza komunalne naknade za razdoblje od dana nastanka obveze do isteka godine koja prethodi godini u kojoj se donosi rješenje.</w:t>
      </w:r>
    </w:p>
    <w:p w14:paraId="2BAC3246" w14:textId="77777777" w:rsidR="008C2837" w:rsidRPr="00EE48FD" w:rsidRDefault="008C2837" w:rsidP="008C2837">
      <w:pPr>
        <w:shd w:val="clear" w:color="auto" w:fill="FFFFFF"/>
        <w:spacing w:after="0" w:line="240" w:lineRule="auto"/>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(2) U slučaju iz stavka 1. komunalna naknada za razdoblje od početka tekuće kalendarske godine utvrđuje se zasebnim rješenjem na način propisan člankom 6.</w:t>
      </w:r>
    </w:p>
    <w:p w14:paraId="08116A0B" w14:textId="77777777" w:rsidR="008C2837" w:rsidRPr="00EE48FD" w:rsidRDefault="008C2837" w:rsidP="008C2837">
      <w:pPr>
        <w:shd w:val="clear" w:color="auto" w:fill="FFFFFF"/>
        <w:spacing w:after="0" w:line="240" w:lineRule="auto"/>
        <w:jc w:val="both"/>
        <w:rPr>
          <w:rFonts w:ascii="Times New Roman" w:eastAsia="Times New Roman" w:hAnsi="Times New Roman" w:cs="Times New Roman"/>
          <w:sz w:val="24"/>
          <w:szCs w:val="24"/>
          <w:lang w:val="pl-PL" w:eastAsia="en-GB"/>
        </w:rPr>
      </w:pPr>
    </w:p>
    <w:p w14:paraId="1F1DEDD5" w14:textId="77777777" w:rsidR="008C2837" w:rsidRPr="00EE48FD" w:rsidRDefault="008C2837" w:rsidP="008C2837">
      <w:pPr>
        <w:shd w:val="clear" w:color="auto" w:fill="FFFFFF"/>
        <w:spacing w:after="0" w:line="240" w:lineRule="auto"/>
        <w:jc w:val="center"/>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Članak 8.</w:t>
      </w:r>
    </w:p>
    <w:p w14:paraId="5A39C2F1" w14:textId="77777777" w:rsidR="008C2837" w:rsidRPr="00EE48FD" w:rsidRDefault="008C2837" w:rsidP="008C2837">
      <w:pPr>
        <w:shd w:val="clear" w:color="auto" w:fill="FFFFFF"/>
        <w:spacing w:after="0" w:line="240" w:lineRule="auto"/>
        <w:jc w:val="center"/>
        <w:rPr>
          <w:rFonts w:ascii="Times New Roman" w:eastAsia="Times New Roman" w:hAnsi="Times New Roman" w:cs="Times New Roman"/>
          <w:sz w:val="24"/>
          <w:szCs w:val="24"/>
          <w:lang w:val="pl-PL" w:eastAsia="en-GB"/>
        </w:rPr>
      </w:pPr>
    </w:p>
    <w:p w14:paraId="74F88B16" w14:textId="77777777" w:rsidR="008C2837" w:rsidRPr="00EE48FD" w:rsidRDefault="008C2837" w:rsidP="008C2837">
      <w:pPr>
        <w:shd w:val="clear" w:color="auto" w:fill="FFFFFF"/>
        <w:spacing w:after="0" w:line="240" w:lineRule="auto"/>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(1) U slučaju kada obveza plaćanja komunalne naknade nastane tijekom kalendarske godine ili se tijekom godine promijene podaci koji utječu na visinu komunalne naknade, rješenjem o komunalnoj naknadi utvrđuje se obveza od dana nastanka promjene do kraja godine, na način propisan stavkom 3. ovog članka Odluke.</w:t>
      </w:r>
    </w:p>
    <w:p w14:paraId="7DFCCEA3" w14:textId="77777777" w:rsidR="008C2837" w:rsidRPr="00EE48FD" w:rsidRDefault="008C2837" w:rsidP="008C2837">
      <w:pPr>
        <w:shd w:val="clear" w:color="auto" w:fill="FFFFFF"/>
        <w:spacing w:after="0" w:line="240" w:lineRule="auto"/>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lastRenderedPageBreak/>
        <w:t>(2) Osobi kojoj tijekom kalendarske godine prestaje obveza plaćanja komunalne naknade, rješenjem o komunalnoj naknadi posebno će se utvrditi komunalna naknada, do dana prestanka obveze, za tu kalendarsku godinu u kojoj je obveza prestala.</w:t>
      </w:r>
    </w:p>
    <w:p w14:paraId="669048F6" w14:textId="77777777" w:rsidR="008C2837" w:rsidRPr="00EE48FD" w:rsidRDefault="008C2837" w:rsidP="008C2837">
      <w:pPr>
        <w:shd w:val="clear" w:color="auto" w:fill="FFFFFF"/>
        <w:spacing w:after="0" w:line="240" w:lineRule="auto"/>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(3) U slučaju iz stavka 1. i  2. ovog članka komunalna naknada za dio godine, obračunava se na način da se ukupni iznos komunalne naknade za cijelu godinu, podijeli sa ukupnim brojem dana u godini i pomnoži sa brojem dana u godini od dana nastanka odnosno prestanka obveze plaćanja.</w:t>
      </w:r>
    </w:p>
    <w:p w14:paraId="484BE80C" w14:textId="77777777" w:rsidR="008C2837" w:rsidRPr="00EE48FD" w:rsidRDefault="008C2837" w:rsidP="008C2837">
      <w:pPr>
        <w:shd w:val="clear" w:color="auto" w:fill="FFFFFF"/>
        <w:spacing w:after="0" w:line="240" w:lineRule="auto"/>
        <w:jc w:val="center"/>
        <w:rPr>
          <w:rFonts w:ascii="Times New Roman" w:eastAsia="Times New Roman" w:hAnsi="Times New Roman" w:cs="Times New Roman"/>
          <w:sz w:val="24"/>
          <w:szCs w:val="24"/>
          <w:lang w:val="pl-PL" w:eastAsia="en-GB"/>
        </w:rPr>
      </w:pPr>
    </w:p>
    <w:p w14:paraId="2311F6AB" w14:textId="77777777" w:rsidR="008C2837" w:rsidRPr="00EE48FD" w:rsidRDefault="008C2837" w:rsidP="008C2837">
      <w:pPr>
        <w:shd w:val="clear" w:color="auto" w:fill="FFFFFF"/>
        <w:spacing w:after="0" w:line="240" w:lineRule="auto"/>
        <w:jc w:val="center"/>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Članak 9.</w:t>
      </w:r>
    </w:p>
    <w:p w14:paraId="0330BD97" w14:textId="77777777" w:rsidR="008C2837" w:rsidRPr="00EE48FD" w:rsidRDefault="008C2837" w:rsidP="008C2837">
      <w:pPr>
        <w:shd w:val="clear" w:color="auto" w:fill="FFFFFF"/>
        <w:spacing w:after="0" w:line="240" w:lineRule="auto"/>
        <w:jc w:val="center"/>
        <w:rPr>
          <w:rFonts w:ascii="Times New Roman" w:eastAsia="Times New Roman" w:hAnsi="Times New Roman" w:cs="Times New Roman"/>
          <w:sz w:val="24"/>
          <w:szCs w:val="24"/>
          <w:lang w:val="pl-PL" w:eastAsia="en-GB"/>
        </w:rPr>
      </w:pPr>
    </w:p>
    <w:p w14:paraId="7FE5F78F" w14:textId="00EADA3E" w:rsidR="008C2837" w:rsidRPr="00EE48FD" w:rsidRDefault="008C2837" w:rsidP="008C2837">
      <w:pPr>
        <w:shd w:val="clear" w:color="auto" w:fill="FFFFFF"/>
        <w:spacing w:after="0" w:line="240" w:lineRule="auto"/>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(1) Za hotele, turistička naselja, kampove i golf igrališta komunalna naknada utvrđuje se rješenjem za svaku kalendarsku godinu najkasnije do 31. ožujka tekuće godine.</w:t>
      </w:r>
    </w:p>
    <w:p w14:paraId="34572183" w14:textId="77777777" w:rsidR="008C2837" w:rsidRPr="00EE48FD" w:rsidRDefault="008C2837" w:rsidP="008C2837">
      <w:pPr>
        <w:shd w:val="clear" w:color="auto" w:fill="FFFFFF"/>
        <w:spacing w:after="0" w:line="240" w:lineRule="auto"/>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 xml:space="preserve">(2) Obveznici komunalne naknade za hotele, turistička naselja, kampove i golf igrališta mogu Gradu Opatiji dostaviti </w:t>
      </w:r>
      <w:r w:rsidRPr="00EE48FD">
        <w:rPr>
          <w:rFonts w:ascii="Times New Roman" w:eastAsia="Times New Roman" w:hAnsi="Times New Roman" w:cs="Times New Roman"/>
          <w:b/>
          <w:bCs/>
          <w:sz w:val="24"/>
          <w:szCs w:val="24"/>
          <w:lang w:val="pl-PL" w:eastAsia="en-GB"/>
        </w:rPr>
        <w:t>podatke o ostvarenom godišnjem prihodu iz prethodne godine ostvarenog u pojedinom hotelu, turističkom naselju, kampu ili golf igralištu</w:t>
      </w:r>
      <w:r w:rsidRPr="00EE48FD">
        <w:rPr>
          <w:rFonts w:ascii="Times New Roman" w:eastAsia="Times New Roman" w:hAnsi="Times New Roman" w:cs="Times New Roman"/>
          <w:sz w:val="24"/>
          <w:szCs w:val="24"/>
          <w:lang w:val="pl-PL" w:eastAsia="en-GB"/>
        </w:rPr>
        <w:t xml:space="preserve"> za koji se utvrđuje obveza komunalne naknade.</w:t>
      </w:r>
    </w:p>
    <w:p w14:paraId="0DAD730A" w14:textId="3FFA3255" w:rsidR="008C2837" w:rsidRPr="00EE48FD" w:rsidRDefault="008C2837" w:rsidP="008C2837">
      <w:pPr>
        <w:shd w:val="clear" w:color="auto" w:fill="FFFFFF"/>
        <w:spacing w:after="0" w:line="240" w:lineRule="auto"/>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 xml:space="preserve">(3) Obveznici moraju podatke iz stavka 2. ovog članka dostaviti najkasnije do 31. siječnja tekuće godine, </w:t>
      </w:r>
      <w:r w:rsidRPr="00EE48FD">
        <w:rPr>
          <w:rFonts w:ascii="Times New Roman" w:eastAsia="Times New Roman" w:hAnsi="Times New Roman" w:cs="Times New Roman"/>
          <w:b/>
          <w:bCs/>
          <w:sz w:val="24"/>
          <w:szCs w:val="24"/>
          <w:lang w:val="pl-PL" w:eastAsia="en-GB"/>
        </w:rPr>
        <w:t>ovjerene od strane ovlaštenog zastupnika</w:t>
      </w:r>
      <w:r w:rsidRPr="00EE48FD">
        <w:rPr>
          <w:rFonts w:ascii="Times New Roman" w:eastAsia="Times New Roman" w:hAnsi="Times New Roman" w:cs="Times New Roman"/>
          <w:sz w:val="24"/>
          <w:szCs w:val="24"/>
          <w:lang w:val="pl-PL" w:eastAsia="en-GB"/>
        </w:rPr>
        <w:t xml:space="preserve"> obveznika komunalne naknade.</w:t>
      </w:r>
    </w:p>
    <w:p w14:paraId="5222EEF2" w14:textId="77777777" w:rsidR="008C2837" w:rsidRPr="00EE48FD" w:rsidRDefault="008C2837" w:rsidP="008C2837">
      <w:pPr>
        <w:shd w:val="clear" w:color="auto" w:fill="FFFFFF"/>
        <w:spacing w:after="0" w:line="240" w:lineRule="auto"/>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 xml:space="preserve">(4) U slučaju da podaci za utvrđivanje komunalne naknade po ukupnom prihodu </w:t>
      </w:r>
      <w:r w:rsidRPr="00EE48FD">
        <w:rPr>
          <w:rFonts w:ascii="Times New Roman" w:eastAsia="Times New Roman" w:hAnsi="Times New Roman" w:cs="Times New Roman"/>
          <w:b/>
          <w:bCs/>
          <w:sz w:val="24"/>
          <w:szCs w:val="24"/>
          <w:lang w:val="pl-PL" w:eastAsia="en-GB"/>
        </w:rPr>
        <w:t>pojedinog hotela</w:t>
      </w:r>
      <w:r w:rsidRPr="00EE48FD">
        <w:rPr>
          <w:rFonts w:ascii="Times New Roman" w:eastAsia="Times New Roman" w:hAnsi="Times New Roman" w:cs="Times New Roman"/>
          <w:sz w:val="24"/>
          <w:szCs w:val="24"/>
          <w:lang w:val="pl-PL" w:eastAsia="en-GB"/>
        </w:rPr>
        <w:t xml:space="preserve"> ne budu dostavljeni roku iz stavka 2. ovog članka, komunalna naknada će se utvrditi na način iz članka 6. ove Odluke.</w:t>
      </w:r>
    </w:p>
    <w:p w14:paraId="2135891E" w14:textId="77777777" w:rsidR="008C2837" w:rsidRPr="00EE48FD" w:rsidRDefault="008C2837" w:rsidP="008C2837">
      <w:pPr>
        <w:shd w:val="clear" w:color="auto" w:fill="FFFFFF"/>
        <w:spacing w:after="0" w:line="240" w:lineRule="auto"/>
        <w:jc w:val="both"/>
        <w:rPr>
          <w:rFonts w:ascii="Times New Roman" w:eastAsia="Times New Roman" w:hAnsi="Times New Roman" w:cs="Times New Roman"/>
          <w:sz w:val="24"/>
          <w:szCs w:val="24"/>
          <w:lang w:val="pl-PL" w:eastAsia="en-GB"/>
        </w:rPr>
      </w:pPr>
    </w:p>
    <w:p w14:paraId="1DD9F727" w14:textId="77777777" w:rsidR="008C2837" w:rsidRPr="00EE48FD" w:rsidRDefault="008C2837" w:rsidP="008C2837">
      <w:pPr>
        <w:shd w:val="clear" w:color="auto" w:fill="FFFFFF"/>
        <w:spacing w:after="0" w:line="240" w:lineRule="auto"/>
        <w:jc w:val="center"/>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Članak 10.</w:t>
      </w:r>
    </w:p>
    <w:p w14:paraId="4DEB4FEF" w14:textId="77777777" w:rsidR="008C2837" w:rsidRPr="00EE48FD" w:rsidRDefault="008C2837" w:rsidP="008C2837">
      <w:pPr>
        <w:shd w:val="clear" w:color="auto" w:fill="FFFFFF"/>
        <w:spacing w:after="0" w:line="240" w:lineRule="auto"/>
        <w:jc w:val="center"/>
        <w:rPr>
          <w:rFonts w:ascii="Times New Roman" w:eastAsia="Times New Roman" w:hAnsi="Times New Roman" w:cs="Times New Roman"/>
          <w:sz w:val="24"/>
          <w:szCs w:val="24"/>
          <w:lang w:val="pl-PL" w:eastAsia="en-GB"/>
        </w:rPr>
      </w:pPr>
    </w:p>
    <w:p w14:paraId="57666993" w14:textId="77777777" w:rsidR="008C2837" w:rsidRPr="00EE48FD" w:rsidRDefault="008C2837" w:rsidP="008C2837">
      <w:pPr>
        <w:shd w:val="clear" w:color="auto" w:fill="FFFFFF"/>
        <w:spacing w:after="0" w:line="240" w:lineRule="auto"/>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(1) Obveznici komunalne naknade za poslovne prostore i građevinsko zemljište koje služi obavljanju poslovne djelatnosti mogu zatražiti izmjenu rješenja o komunalnoj naknadi, za određenu kalendarsku godinu, ukoliko u poslovnom prostoru ne obavljaju svoju djelatnost više od 6 (slovima: šest) mjeseci u kalendarskoj godini.</w:t>
      </w:r>
    </w:p>
    <w:p w14:paraId="0EED1FDF" w14:textId="77777777" w:rsidR="008C2837" w:rsidRPr="00EE48FD" w:rsidRDefault="008C2837" w:rsidP="008C2837">
      <w:pPr>
        <w:shd w:val="clear" w:color="auto" w:fill="FFFFFF"/>
        <w:spacing w:after="0" w:line="240" w:lineRule="auto"/>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(2) Izmjena rješenja iz stavka 1. ovog članka može se tražiti najkasnije u roku od 30 dana od dana isteka kalendarske godine za koju se izmjena rješenja traži.</w:t>
      </w:r>
    </w:p>
    <w:p w14:paraId="39EC5DF7" w14:textId="77777777" w:rsidR="008C2837" w:rsidRPr="009F7D6D" w:rsidRDefault="008C2837" w:rsidP="008C2837">
      <w:pPr>
        <w:shd w:val="clear" w:color="auto" w:fill="FFFFFF"/>
        <w:spacing w:after="0" w:line="240" w:lineRule="auto"/>
        <w:jc w:val="both"/>
        <w:rPr>
          <w:rFonts w:ascii="Times New Roman" w:eastAsia="Times New Roman" w:hAnsi="Times New Roman" w:cs="Times New Roman"/>
          <w:sz w:val="24"/>
          <w:szCs w:val="24"/>
          <w:lang w:val="hr-HR" w:eastAsia="en-GB"/>
        </w:rPr>
      </w:pPr>
      <w:r w:rsidRPr="009F7D6D">
        <w:rPr>
          <w:rFonts w:ascii="Times New Roman" w:eastAsia="Times New Roman" w:hAnsi="Times New Roman" w:cs="Times New Roman"/>
          <w:sz w:val="24"/>
          <w:szCs w:val="24"/>
          <w:lang w:val="hr-HR" w:eastAsia="en-GB"/>
        </w:rPr>
        <w:t>(3) U slučaju iz stavka 1. ovog članka, komunalna naknade utvrdit će se na način da se koeficijent namjene za poslovni prostor umanjuje za 50%, ali ne može biti manji od koeficijenta namjene za stambeni prostor, odnosno da se koeficijent namjene za građevinsko zemljište koje služi obavljanju poslovne djelatnosti umanjuje za 50% , ali ne može biti manji od koeficijenta namjene za neizgrađeno građevinsko zemljište.</w:t>
      </w:r>
    </w:p>
    <w:p w14:paraId="3BDDB029" w14:textId="4B5614D9" w:rsidR="008C2837" w:rsidRPr="009F7D6D" w:rsidRDefault="008C2837" w:rsidP="008C2837">
      <w:pPr>
        <w:shd w:val="clear" w:color="auto" w:fill="FFFFFF"/>
        <w:spacing w:after="0" w:line="240" w:lineRule="auto"/>
        <w:jc w:val="both"/>
        <w:rPr>
          <w:rFonts w:ascii="Times New Roman" w:eastAsia="Times New Roman" w:hAnsi="Times New Roman" w:cs="Times New Roman"/>
          <w:sz w:val="24"/>
          <w:szCs w:val="24"/>
          <w:lang w:val="hr-HR" w:eastAsia="en-GB"/>
        </w:rPr>
      </w:pPr>
      <w:r w:rsidRPr="009F7D6D">
        <w:rPr>
          <w:rFonts w:ascii="Times New Roman" w:eastAsia="Times New Roman" w:hAnsi="Times New Roman" w:cs="Times New Roman"/>
          <w:sz w:val="24"/>
          <w:szCs w:val="24"/>
          <w:lang w:val="hr-HR" w:eastAsia="en-GB"/>
        </w:rPr>
        <w:t>(4) Pravo na umanjenje iz stavka 1. i stavka 3. ovog članka ne mogu ostvariti obveznici komunalne naknade za poslovne prostore odnosno apartmane u kojima pružaju ugostiteljske usluge smještaja ukoliko posjeduju rješenje o pružanju istih usluga za čitavu kalendarsku godinu.</w:t>
      </w:r>
    </w:p>
    <w:p w14:paraId="42BBF028" w14:textId="77777777" w:rsidR="008C2837" w:rsidRPr="00EE48FD" w:rsidRDefault="008C2837" w:rsidP="008C2837">
      <w:pPr>
        <w:shd w:val="clear" w:color="auto" w:fill="FFFFFF"/>
        <w:spacing w:after="0" w:line="240" w:lineRule="auto"/>
        <w:rPr>
          <w:rFonts w:ascii="Times New Roman" w:eastAsia="Times New Roman" w:hAnsi="Times New Roman" w:cs="Times New Roman"/>
          <w:b/>
          <w:bCs/>
          <w:sz w:val="24"/>
          <w:szCs w:val="24"/>
          <w:lang w:eastAsia="en-GB"/>
        </w:rPr>
      </w:pPr>
    </w:p>
    <w:p w14:paraId="3EF91183" w14:textId="77777777" w:rsidR="008C2837" w:rsidRPr="00EE48FD" w:rsidRDefault="008C2837" w:rsidP="008C2837">
      <w:pPr>
        <w:shd w:val="clear" w:color="auto" w:fill="FFFFFF"/>
        <w:spacing w:after="0" w:line="240" w:lineRule="auto"/>
        <w:rPr>
          <w:rFonts w:ascii="Times New Roman" w:eastAsia="Times New Roman" w:hAnsi="Times New Roman" w:cs="Times New Roman"/>
          <w:b/>
          <w:bCs/>
          <w:sz w:val="24"/>
          <w:szCs w:val="24"/>
          <w:lang w:val="pl-PL" w:eastAsia="en-GB"/>
        </w:rPr>
      </w:pPr>
      <w:r w:rsidRPr="00EE48FD">
        <w:rPr>
          <w:rFonts w:ascii="Times New Roman" w:eastAsia="Times New Roman" w:hAnsi="Times New Roman" w:cs="Times New Roman"/>
          <w:b/>
          <w:bCs/>
          <w:sz w:val="24"/>
          <w:szCs w:val="24"/>
          <w:lang w:val="pl-PL" w:eastAsia="en-GB"/>
        </w:rPr>
        <w:t>ROKOVI PLAĆANJA</w:t>
      </w:r>
    </w:p>
    <w:p w14:paraId="7421A667" w14:textId="77777777" w:rsidR="008C2837" w:rsidRPr="00EE48FD" w:rsidRDefault="008C2837" w:rsidP="008C2837">
      <w:pPr>
        <w:shd w:val="clear" w:color="auto" w:fill="FFFFFF"/>
        <w:spacing w:after="0" w:line="240" w:lineRule="auto"/>
        <w:rPr>
          <w:rFonts w:ascii="Times New Roman" w:eastAsia="Times New Roman" w:hAnsi="Times New Roman" w:cs="Times New Roman"/>
          <w:sz w:val="24"/>
          <w:szCs w:val="24"/>
          <w:lang w:val="pl-PL" w:eastAsia="en-GB"/>
        </w:rPr>
      </w:pPr>
    </w:p>
    <w:p w14:paraId="49F9B920" w14:textId="22B46D91" w:rsidR="008C2837" w:rsidRPr="00EE48FD" w:rsidRDefault="008C2837" w:rsidP="008C2837">
      <w:pPr>
        <w:shd w:val="clear" w:color="auto" w:fill="FFFFFF"/>
        <w:spacing w:after="0" w:line="240" w:lineRule="auto"/>
        <w:jc w:val="center"/>
        <w:rPr>
          <w:rFonts w:ascii="Times New Roman" w:eastAsia="Times New Roman" w:hAnsi="Times New Roman" w:cs="Times New Roman"/>
          <w:color w:val="EE0000"/>
          <w:sz w:val="24"/>
          <w:szCs w:val="24"/>
          <w:lang w:val="pl-PL" w:eastAsia="en-GB"/>
        </w:rPr>
      </w:pPr>
      <w:r w:rsidRPr="00EE48FD">
        <w:rPr>
          <w:rFonts w:ascii="Times New Roman" w:eastAsia="Times New Roman" w:hAnsi="Times New Roman" w:cs="Times New Roman"/>
          <w:sz w:val="24"/>
          <w:szCs w:val="24"/>
          <w:lang w:val="pl-PL" w:eastAsia="en-GB"/>
        </w:rPr>
        <w:t>Članak 11.</w:t>
      </w:r>
      <w:r w:rsidR="00351698" w:rsidRPr="00EE48FD">
        <w:rPr>
          <w:rFonts w:ascii="Times New Roman" w:eastAsia="Times New Roman" w:hAnsi="Times New Roman" w:cs="Times New Roman"/>
          <w:sz w:val="24"/>
          <w:szCs w:val="24"/>
          <w:lang w:val="pl-PL" w:eastAsia="en-GB"/>
        </w:rPr>
        <w:t xml:space="preserve"> </w:t>
      </w:r>
    </w:p>
    <w:p w14:paraId="0C3FD646" w14:textId="77777777" w:rsidR="008C2837" w:rsidRPr="00EE48FD" w:rsidRDefault="008C2837" w:rsidP="008C2837">
      <w:pPr>
        <w:shd w:val="clear" w:color="auto" w:fill="FFFFFF"/>
        <w:spacing w:after="0" w:line="240" w:lineRule="auto"/>
        <w:jc w:val="center"/>
        <w:rPr>
          <w:rFonts w:ascii="Times New Roman" w:eastAsia="Times New Roman" w:hAnsi="Times New Roman" w:cs="Times New Roman"/>
          <w:sz w:val="24"/>
          <w:szCs w:val="24"/>
          <w:lang w:val="pl-PL" w:eastAsia="en-GB"/>
        </w:rPr>
      </w:pPr>
    </w:p>
    <w:p w14:paraId="080BE026" w14:textId="77777777" w:rsidR="008C2837" w:rsidRPr="00EE48FD" w:rsidRDefault="008C2837" w:rsidP="008C2837">
      <w:pPr>
        <w:shd w:val="clear" w:color="auto" w:fill="FFFFFF"/>
        <w:spacing w:after="0" w:line="240" w:lineRule="auto"/>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Obveznici plaćanja komunalne naknade za stambeni i/ili garažni prostor, komunalnu naknadu plaćaju u sljedećim obrocima:</w:t>
      </w:r>
    </w:p>
    <w:p w14:paraId="4AA2C56E" w14:textId="77777777" w:rsidR="008C2837" w:rsidRPr="00EE48FD" w:rsidRDefault="008C2837" w:rsidP="008C2837">
      <w:pPr>
        <w:shd w:val="clear" w:color="auto" w:fill="FFFFFF"/>
        <w:spacing w:after="0" w:line="240" w:lineRule="auto"/>
        <w:jc w:val="both"/>
        <w:rPr>
          <w:rFonts w:ascii="Times New Roman" w:eastAsia="Times New Roman" w:hAnsi="Times New Roman" w:cs="Times New Roman"/>
          <w:sz w:val="24"/>
          <w:szCs w:val="24"/>
          <w:lang w:val="pl-PL" w:eastAsia="en-GB"/>
        </w:rPr>
      </w:pPr>
    </w:p>
    <w:p w14:paraId="617CEC91" w14:textId="59D7772B" w:rsidR="008C2837" w:rsidRPr="00EE48FD" w:rsidRDefault="008C2837" w:rsidP="008C2837">
      <w:pPr>
        <w:shd w:val="clear" w:color="auto" w:fill="FFFFFF"/>
        <w:spacing w:after="0" w:line="240" w:lineRule="auto"/>
        <w:ind w:left="567"/>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 jednokratno u jednom obroku ako je godišnji iznos komunalne naknade utvrđen rješenjem o komunalnoj naknadi manji ili jednak iznosu od</w:t>
      </w:r>
      <w:r w:rsidR="005929BC" w:rsidRPr="00EE48FD">
        <w:rPr>
          <w:rFonts w:ascii="Times New Roman" w:eastAsia="Times New Roman" w:hAnsi="Times New Roman" w:cs="Times New Roman"/>
          <w:sz w:val="24"/>
          <w:szCs w:val="24"/>
          <w:lang w:val="pl-PL" w:eastAsia="en-GB"/>
        </w:rPr>
        <w:t xml:space="preserve"> </w:t>
      </w:r>
      <w:r w:rsidRPr="00EE48FD">
        <w:rPr>
          <w:rFonts w:ascii="Times New Roman" w:eastAsia="Times New Roman" w:hAnsi="Times New Roman" w:cs="Times New Roman"/>
          <w:sz w:val="24"/>
          <w:szCs w:val="24"/>
          <w:lang w:val="pl-PL" w:eastAsia="en-GB"/>
        </w:rPr>
        <w:t xml:space="preserve"> 30,00 EUR (slovima: trideset eura),</w:t>
      </w:r>
    </w:p>
    <w:p w14:paraId="108C6E31" w14:textId="33D733B7" w:rsidR="008C2837" w:rsidRPr="00EE48FD" w:rsidRDefault="008C2837" w:rsidP="008C2837">
      <w:pPr>
        <w:shd w:val="clear" w:color="auto" w:fill="FFFFFF"/>
        <w:spacing w:after="0" w:line="240" w:lineRule="auto"/>
        <w:ind w:left="567"/>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lastRenderedPageBreak/>
        <w:t xml:space="preserve">- u 3 (slovima: tri) jednaka obroka ako je godišnji iznos komunalne naknade utvrđen rješenjem o komunalnoj naknadi veći od </w:t>
      </w:r>
      <w:r w:rsidR="005929BC" w:rsidRPr="00EE48FD">
        <w:rPr>
          <w:rFonts w:ascii="Times New Roman" w:eastAsia="Times New Roman" w:hAnsi="Times New Roman" w:cs="Times New Roman"/>
          <w:sz w:val="24"/>
          <w:szCs w:val="24"/>
          <w:lang w:val="pl-PL" w:eastAsia="en-GB"/>
        </w:rPr>
        <w:t xml:space="preserve"> </w:t>
      </w:r>
      <w:r w:rsidRPr="00EE48FD">
        <w:rPr>
          <w:rFonts w:ascii="Times New Roman" w:eastAsia="Times New Roman" w:hAnsi="Times New Roman" w:cs="Times New Roman"/>
          <w:sz w:val="24"/>
          <w:szCs w:val="24"/>
          <w:lang w:val="pl-PL" w:eastAsia="en-GB"/>
        </w:rPr>
        <w:t xml:space="preserve">30,00 EUR (slovima: trideset eura), a manji ili jednak iznosu od </w:t>
      </w:r>
      <w:r w:rsidR="005929BC" w:rsidRPr="00EE48FD">
        <w:rPr>
          <w:rFonts w:ascii="Times New Roman" w:eastAsia="Times New Roman" w:hAnsi="Times New Roman" w:cs="Times New Roman"/>
          <w:sz w:val="24"/>
          <w:szCs w:val="24"/>
          <w:lang w:val="pl-PL" w:eastAsia="en-GB"/>
        </w:rPr>
        <w:t xml:space="preserve"> </w:t>
      </w:r>
      <w:r w:rsidRPr="00EE48FD">
        <w:rPr>
          <w:rFonts w:ascii="Times New Roman" w:eastAsia="Times New Roman" w:hAnsi="Times New Roman" w:cs="Times New Roman"/>
          <w:sz w:val="24"/>
          <w:szCs w:val="24"/>
          <w:lang w:val="pl-PL" w:eastAsia="en-GB"/>
        </w:rPr>
        <w:t xml:space="preserve">80,00 EUR (slovima: osamdeset eura), </w:t>
      </w:r>
    </w:p>
    <w:p w14:paraId="766BF669" w14:textId="61E7B1E5" w:rsidR="008C2837" w:rsidRPr="00EE48FD" w:rsidRDefault="008C2837" w:rsidP="008C2837">
      <w:pPr>
        <w:shd w:val="clear" w:color="auto" w:fill="FFFFFF"/>
        <w:spacing w:after="0" w:line="240" w:lineRule="auto"/>
        <w:ind w:left="567"/>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 u 12 (slovima: dvanaest) mjesečnih obroka, ako je godišnji iznos komunalne naknade utvrđen rješenjem o komunalnoj naknadi veći od</w:t>
      </w:r>
      <w:r w:rsidR="005929BC" w:rsidRPr="00EE48FD">
        <w:rPr>
          <w:rFonts w:ascii="Times New Roman" w:eastAsia="Times New Roman" w:hAnsi="Times New Roman" w:cs="Times New Roman"/>
          <w:sz w:val="24"/>
          <w:szCs w:val="24"/>
          <w:lang w:val="pl-PL" w:eastAsia="en-GB"/>
        </w:rPr>
        <w:t xml:space="preserve"> </w:t>
      </w:r>
      <w:r w:rsidRPr="00EE48FD">
        <w:rPr>
          <w:rFonts w:ascii="Times New Roman" w:eastAsia="Times New Roman" w:hAnsi="Times New Roman" w:cs="Times New Roman"/>
          <w:sz w:val="24"/>
          <w:szCs w:val="24"/>
          <w:lang w:val="pl-PL" w:eastAsia="en-GB"/>
        </w:rPr>
        <w:t xml:space="preserve"> 80,00 EUR (slovima: osamdeset eura).</w:t>
      </w:r>
    </w:p>
    <w:p w14:paraId="26D90538" w14:textId="77777777" w:rsidR="008C2837" w:rsidRPr="00EE48FD" w:rsidRDefault="008C2837" w:rsidP="008C2837">
      <w:pPr>
        <w:shd w:val="clear" w:color="auto" w:fill="FFFFFF"/>
        <w:spacing w:after="0" w:line="240" w:lineRule="auto"/>
        <w:ind w:left="567"/>
        <w:jc w:val="both"/>
        <w:rPr>
          <w:rFonts w:ascii="Times New Roman" w:eastAsia="Times New Roman" w:hAnsi="Times New Roman" w:cs="Times New Roman"/>
          <w:sz w:val="24"/>
          <w:szCs w:val="24"/>
          <w:lang w:val="pl-PL" w:eastAsia="en-GB"/>
        </w:rPr>
      </w:pPr>
    </w:p>
    <w:p w14:paraId="6EA9FE8C" w14:textId="77777777" w:rsidR="008C2837" w:rsidRPr="00EE48FD" w:rsidRDefault="008C2837" w:rsidP="008C2837">
      <w:pPr>
        <w:shd w:val="clear" w:color="auto" w:fill="FFFFFF"/>
        <w:spacing w:after="0" w:line="240" w:lineRule="auto"/>
        <w:jc w:val="center"/>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Članak 12.</w:t>
      </w:r>
    </w:p>
    <w:p w14:paraId="0A972C76" w14:textId="77777777" w:rsidR="008C2837" w:rsidRPr="00EE48FD" w:rsidRDefault="008C2837" w:rsidP="008C2837">
      <w:pPr>
        <w:shd w:val="clear" w:color="auto" w:fill="FFFFFF"/>
        <w:spacing w:after="0" w:line="240" w:lineRule="auto"/>
        <w:jc w:val="center"/>
        <w:rPr>
          <w:rFonts w:ascii="Times New Roman" w:eastAsia="Times New Roman" w:hAnsi="Times New Roman" w:cs="Times New Roman"/>
          <w:sz w:val="24"/>
          <w:szCs w:val="24"/>
          <w:lang w:val="pl-PL" w:eastAsia="en-GB"/>
        </w:rPr>
      </w:pPr>
    </w:p>
    <w:p w14:paraId="6491580C" w14:textId="77777777" w:rsidR="008C2837" w:rsidRPr="00EE48FD" w:rsidRDefault="008C2837" w:rsidP="008C2837">
      <w:pPr>
        <w:shd w:val="clear" w:color="auto" w:fill="FFFFFF"/>
        <w:spacing w:after="0" w:line="240" w:lineRule="auto"/>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(1) Obveznici plaćanja komunalne naknade za poslovni prostor i/ili građevinsko zemljište koje služi obavljanju poslovne djelatnosti komunalnu naknadu plaćaju u 12 obroka.</w:t>
      </w:r>
    </w:p>
    <w:p w14:paraId="36EBB281" w14:textId="77777777" w:rsidR="008C2837" w:rsidRPr="00EE48FD" w:rsidRDefault="008C2837" w:rsidP="008C2837">
      <w:pPr>
        <w:shd w:val="clear" w:color="auto" w:fill="FFFFFF"/>
        <w:spacing w:after="0" w:line="240" w:lineRule="auto"/>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(2) Obveznici plaćanja komunalne naknade za hotele, turistička naselja, kampove i golf igrališta komunalnu naknadu plaćaju u 9 obroka.</w:t>
      </w:r>
    </w:p>
    <w:p w14:paraId="18D55529" w14:textId="505793CE" w:rsidR="008C2837" w:rsidRPr="00EE48FD" w:rsidRDefault="008C2837" w:rsidP="008C2837">
      <w:pPr>
        <w:shd w:val="clear" w:color="auto" w:fill="FFFFFF"/>
        <w:spacing w:after="0" w:line="240" w:lineRule="auto"/>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(3) Obveznici plaćanja komunalne naknade za neizgrađeno građevinsko zemljište plaćaju u jednom obroku.</w:t>
      </w:r>
    </w:p>
    <w:p w14:paraId="62374F48" w14:textId="77777777" w:rsidR="00CD7853" w:rsidRPr="00EE48FD" w:rsidRDefault="00CD7853" w:rsidP="008C2837">
      <w:pPr>
        <w:shd w:val="clear" w:color="auto" w:fill="FFFFFF"/>
        <w:spacing w:after="0" w:line="240" w:lineRule="auto"/>
        <w:jc w:val="both"/>
        <w:rPr>
          <w:rFonts w:ascii="Times New Roman" w:eastAsia="Times New Roman" w:hAnsi="Times New Roman" w:cs="Times New Roman"/>
          <w:sz w:val="24"/>
          <w:szCs w:val="24"/>
          <w:lang w:val="pl-PL" w:eastAsia="en-GB"/>
        </w:rPr>
      </w:pPr>
    </w:p>
    <w:p w14:paraId="4B30D29F" w14:textId="77777777" w:rsidR="008C2837" w:rsidRPr="00EE48FD" w:rsidRDefault="008C2837" w:rsidP="008C2837">
      <w:pPr>
        <w:shd w:val="clear" w:color="auto" w:fill="FFFFFF"/>
        <w:spacing w:after="0" w:line="240" w:lineRule="auto"/>
        <w:jc w:val="center"/>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Članak 13.</w:t>
      </w:r>
    </w:p>
    <w:p w14:paraId="2B0CF79A" w14:textId="77777777" w:rsidR="008C2837" w:rsidRPr="00EE48FD" w:rsidRDefault="008C2837" w:rsidP="008C2837">
      <w:pPr>
        <w:shd w:val="clear" w:color="auto" w:fill="FFFFFF"/>
        <w:spacing w:after="0" w:line="240" w:lineRule="auto"/>
        <w:jc w:val="center"/>
        <w:rPr>
          <w:rFonts w:ascii="Times New Roman" w:eastAsia="Times New Roman" w:hAnsi="Times New Roman" w:cs="Times New Roman"/>
          <w:sz w:val="24"/>
          <w:szCs w:val="24"/>
          <w:lang w:val="pl-PL" w:eastAsia="en-GB"/>
        </w:rPr>
      </w:pPr>
    </w:p>
    <w:p w14:paraId="2B83A09E" w14:textId="77777777" w:rsidR="008C2837" w:rsidRPr="00EE48FD" w:rsidRDefault="008C2837" w:rsidP="008C2837">
      <w:pPr>
        <w:shd w:val="clear" w:color="auto" w:fill="FFFFFF"/>
        <w:tabs>
          <w:tab w:val="left" w:pos="0"/>
        </w:tabs>
        <w:spacing w:after="0" w:line="240" w:lineRule="auto"/>
        <w:ind w:left="-142"/>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(1) Rokovi plaćanja pojedinih obroka utvrđenih u članku 11. te članku 12. stavku 1. i 3. ove Odluke jesu sljedeći:</w:t>
      </w:r>
    </w:p>
    <w:p w14:paraId="73B5A6C9" w14:textId="77777777" w:rsidR="008C2837" w:rsidRPr="00EE48FD" w:rsidRDefault="008C2837" w:rsidP="008C2837">
      <w:pPr>
        <w:shd w:val="clear" w:color="auto" w:fill="FFFFFF"/>
        <w:tabs>
          <w:tab w:val="left" w:pos="0"/>
        </w:tabs>
        <w:spacing w:after="0" w:line="240" w:lineRule="auto"/>
        <w:ind w:left="426" w:hanging="426"/>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ab/>
      </w:r>
      <w:r w:rsidRPr="00EE48FD">
        <w:rPr>
          <w:rFonts w:ascii="Times New Roman" w:eastAsia="Times New Roman" w:hAnsi="Times New Roman" w:cs="Times New Roman"/>
          <w:sz w:val="24"/>
          <w:szCs w:val="24"/>
          <w:lang w:val="pl-PL" w:eastAsia="en-GB"/>
        </w:rPr>
        <w:tab/>
        <w:t>- za godišnje iznose komunalne naknade koji se plaćaju u jednom obroku dospijeće plaćanja obroka je do 30. travnja tekuće godine za tu kalendarsku godinu,</w:t>
      </w:r>
    </w:p>
    <w:p w14:paraId="1ACC619C" w14:textId="77777777" w:rsidR="008C2837" w:rsidRPr="00EE48FD" w:rsidRDefault="008C2837" w:rsidP="008C2837">
      <w:pPr>
        <w:shd w:val="clear" w:color="auto" w:fill="FFFFFF"/>
        <w:tabs>
          <w:tab w:val="left" w:pos="0"/>
        </w:tabs>
        <w:spacing w:after="0" w:line="240" w:lineRule="auto"/>
        <w:ind w:left="426" w:hanging="426"/>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ab/>
      </w:r>
      <w:r w:rsidRPr="00EE48FD">
        <w:rPr>
          <w:rFonts w:ascii="Times New Roman" w:eastAsia="Times New Roman" w:hAnsi="Times New Roman" w:cs="Times New Roman"/>
          <w:sz w:val="24"/>
          <w:szCs w:val="24"/>
          <w:lang w:val="pl-PL" w:eastAsia="en-GB"/>
        </w:rPr>
        <w:tab/>
        <w:t>- kada se godišnji iznos komunalne naknade plaća u 3 (slovima: tri) jednaka obroka, prvi obrok dospijeva na naplatu 30. travnja tekuće godine, drugi obrok dospijeva na naplatu 31. srpnja tekuće godine i treći obrok dospijeva na naplatu 31. listopada tekuće godine,</w:t>
      </w:r>
    </w:p>
    <w:p w14:paraId="2DC9696D" w14:textId="77777777" w:rsidR="008C2837" w:rsidRPr="00EE48FD" w:rsidRDefault="008C2837" w:rsidP="008C2837">
      <w:pPr>
        <w:shd w:val="clear" w:color="auto" w:fill="FFFFFF"/>
        <w:tabs>
          <w:tab w:val="left" w:pos="0"/>
        </w:tabs>
        <w:spacing w:after="0" w:line="240" w:lineRule="auto"/>
        <w:ind w:left="426" w:hanging="426"/>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ab/>
      </w:r>
      <w:r w:rsidRPr="00EE48FD">
        <w:rPr>
          <w:rFonts w:ascii="Times New Roman" w:eastAsia="Times New Roman" w:hAnsi="Times New Roman" w:cs="Times New Roman"/>
          <w:sz w:val="24"/>
          <w:szCs w:val="24"/>
          <w:lang w:val="pl-PL" w:eastAsia="en-GB"/>
        </w:rPr>
        <w:tab/>
        <w:t>- kada se godišnji iznos komunalne naknade, plaća u 12 obroka odnosno jednakim mjesečnim iznosima, onda mjesečni iznos (iznos obroka) za mjesec siječanj dospijeva na naplatu 31. siječnja tekuće godine, a svaki sljedeći mjesečni iznos počev od mjeseca veljače, dospijeva na naplatu 20-og u mjesecu za taj mjesec svake kalendarske godine.</w:t>
      </w:r>
    </w:p>
    <w:p w14:paraId="22DE4694" w14:textId="77777777" w:rsidR="008C2837" w:rsidRPr="00EE48FD" w:rsidRDefault="008C2837" w:rsidP="008C2837">
      <w:pPr>
        <w:shd w:val="clear" w:color="auto" w:fill="FFFFFF"/>
        <w:tabs>
          <w:tab w:val="left" w:pos="0"/>
        </w:tabs>
        <w:spacing w:after="0" w:line="240" w:lineRule="auto"/>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(2) Rokovi plaćanja godišnjih iznosa komunalne naknade za hotele, turistička naselja, kampove i golf igrališta, za obroke utvrđene u članku 12. stavku 2. ove Odluke, prvi obrok dospijeva na naplatu 30. travnja tekuće godine, a svaki sljedeći obrok počev od mjeseca svibnja, dospijeva na naplatu 20-og u mjesecu za tekući mjesec.</w:t>
      </w:r>
    </w:p>
    <w:p w14:paraId="44465649" w14:textId="77777777" w:rsidR="008C2837" w:rsidRPr="00EE48FD" w:rsidRDefault="008C2837" w:rsidP="008C2837">
      <w:pPr>
        <w:shd w:val="clear" w:color="auto" w:fill="FFFFFF"/>
        <w:tabs>
          <w:tab w:val="left" w:pos="0"/>
        </w:tabs>
        <w:spacing w:after="0" w:line="240" w:lineRule="auto"/>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(3) Izuzetno od stavka 1. podstavka 1. ovog članka, kada se godišnji iznos komunalne naknade za cijelu tekuću godinu, utvrđuje u toku godine, obrok komunalne naknade dospijeva 20-og u idućem mjesecu od mjeseca u kojem je rješnje izdano.</w:t>
      </w:r>
    </w:p>
    <w:p w14:paraId="5969030A" w14:textId="77777777" w:rsidR="008C2837" w:rsidRPr="00EE48FD" w:rsidRDefault="008C2837" w:rsidP="008C2837">
      <w:pPr>
        <w:shd w:val="clear" w:color="auto" w:fill="FFFFFF"/>
        <w:tabs>
          <w:tab w:val="left" w:pos="0"/>
        </w:tabs>
        <w:spacing w:after="0" w:line="240" w:lineRule="auto"/>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(4) Izuzetno od stavka 1. podstavka 2. ovog članka, kada se godišnji iznos komunalne naknade za cijelu tekuću godinu, utvrđuje u toku godine:</w:t>
      </w:r>
    </w:p>
    <w:p w14:paraId="2CA66C47" w14:textId="77777777" w:rsidR="008C2837" w:rsidRPr="00EE48FD" w:rsidRDefault="008C2837" w:rsidP="008C2837">
      <w:pPr>
        <w:shd w:val="clear" w:color="auto" w:fill="FFFFFF"/>
        <w:tabs>
          <w:tab w:val="left" w:pos="0"/>
        </w:tabs>
        <w:spacing w:after="0" w:line="240" w:lineRule="auto"/>
        <w:ind w:left="426" w:hanging="426"/>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ab/>
      </w:r>
      <w:r w:rsidRPr="00EE48FD">
        <w:rPr>
          <w:rFonts w:ascii="Times New Roman" w:eastAsia="Times New Roman" w:hAnsi="Times New Roman" w:cs="Times New Roman"/>
          <w:sz w:val="24"/>
          <w:szCs w:val="24"/>
          <w:lang w:val="pl-PL" w:eastAsia="en-GB"/>
        </w:rPr>
        <w:tab/>
        <w:t xml:space="preserve">- ukoliko je rješenje izdano nakon 1. travnja, prvi i drugi obrok dospijevaju 31. srpnja, </w:t>
      </w:r>
    </w:p>
    <w:p w14:paraId="0794AAE0" w14:textId="77777777" w:rsidR="008C2837" w:rsidRPr="00EE48FD" w:rsidRDefault="008C2837" w:rsidP="008C2837">
      <w:pPr>
        <w:shd w:val="clear" w:color="auto" w:fill="FFFFFF"/>
        <w:tabs>
          <w:tab w:val="left" w:pos="0"/>
        </w:tabs>
        <w:spacing w:after="0" w:line="240" w:lineRule="auto"/>
        <w:ind w:left="426" w:hanging="426"/>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 xml:space="preserve">              a treći obrok 31. listopada tekuće godine, </w:t>
      </w:r>
    </w:p>
    <w:p w14:paraId="6D6C0700" w14:textId="77777777" w:rsidR="008C2837" w:rsidRPr="00EE48FD" w:rsidRDefault="008C2837" w:rsidP="008C2837">
      <w:pPr>
        <w:shd w:val="clear" w:color="auto" w:fill="FFFFFF"/>
        <w:tabs>
          <w:tab w:val="left" w:pos="0"/>
        </w:tabs>
        <w:spacing w:after="0" w:line="240" w:lineRule="auto"/>
        <w:ind w:left="426" w:hanging="426"/>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ab/>
      </w:r>
      <w:r w:rsidRPr="00EE48FD">
        <w:rPr>
          <w:rFonts w:ascii="Times New Roman" w:eastAsia="Times New Roman" w:hAnsi="Times New Roman" w:cs="Times New Roman"/>
          <w:sz w:val="24"/>
          <w:szCs w:val="24"/>
          <w:lang w:val="pl-PL" w:eastAsia="en-GB"/>
        </w:rPr>
        <w:tab/>
        <w:t xml:space="preserve">- ukoliko je rješenje izdano nakon 1. srpnja, prvi, drugi i treći obrok dospijevaju 31.   </w:t>
      </w:r>
    </w:p>
    <w:p w14:paraId="64556A9B" w14:textId="77777777" w:rsidR="008C2837" w:rsidRPr="00EE48FD" w:rsidRDefault="008C2837" w:rsidP="008C2837">
      <w:pPr>
        <w:shd w:val="clear" w:color="auto" w:fill="FFFFFF"/>
        <w:tabs>
          <w:tab w:val="left" w:pos="0"/>
        </w:tabs>
        <w:spacing w:after="0" w:line="240" w:lineRule="auto"/>
        <w:ind w:left="426" w:hanging="426"/>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 xml:space="preserve">              listopada, </w:t>
      </w:r>
    </w:p>
    <w:p w14:paraId="3BE7B3D2" w14:textId="77777777" w:rsidR="008C2837" w:rsidRPr="00EE48FD" w:rsidRDefault="008C2837" w:rsidP="008C2837">
      <w:pPr>
        <w:shd w:val="clear" w:color="auto" w:fill="FFFFFF"/>
        <w:tabs>
          <w:tab w:val="left" w:pos="0"/>
        </w:tabs>
        <w:spacing w:after="0" w:line="240" w:lineRule="auto"/>
        <w:ind w:left="426" w:hanging="426"/>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ab/>
      </w:r>
      <w:r w:rsidRPr="00EE48FD">
        <w:rPr>
          <w:rFonts w:ascii="Times New Roman" w:eastAsia="Times New Roman" w:hAnsi="Times New Roman" w:cs="Times New Roman"/>
          <w:sz w:val="24"/>
          <w:szCs w:val="24"/>
          <w:lang w:val="pl-PL" w:eastAsia="en-GB"/>
        </w:rPr>
        <w:tab/>
        <w:t>- ukoliko je rješenje izdano nakon 1. listopada, prvi, drugi i treći obrok dospijevaju 20-</w:t>
      </w:r>
    </w:p>
    <w:p w14:paraId="42EA4E43" w14:textId="77777777" w:rsidR="008C2837" w:rsidRPr="00EE48FD" w:rsidRDefault="008C2837" w:rsidP="008C2837">
      <w:pPr>
        <w:shd w:val="clear" w:color="auto" w:fill="FFFFFF"/>
        <w:tabs>
          <w:tab w:val="left" w:pos="0"/>
        </w:tabs>
        <w:spacing w:after="0" w:line="240" w:lineRule="auto"/>
        <w:ind w:left="426" w:hanging="426"/>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 xml:space="preserve">              og u idućem mjesecu od mjeseca u kojem je rješnje izdano.</w:t>
      </w:r>
    </w:p>
    <w:p w14:paraId="31C94B6A" w14:textId="77777777" w:rsidR="008C2837" w:rsidRPr="00EE48FD" w:rsidRDefault="008C2837" w:rsidP="008C2837">
      <w:pPr>
        <w:shd w:val="clear" w:color="auto" w:fill="FFFFFF"/>
        <w:tabs>
          <w:tab w:val="left" w:pos="0"/>
        </w:tabs>
        <w:spacing w:after="0" w:line="240" w:lineRule="auto"/>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 xml:space="preserve">(5) </w:t>
      </w:r>
      <w:bookmarkStart w:id="1" w:name="_Hlk211603192"/>
      <w:r w:rsidRPr="00EE48FD">
        <w:rPr>
          <w:rFonts w:ascii="Times New Roman" w:eastAsia="Times New Roman" w:hAnsi="Times New Roman" w:cs="Times New Roman"/>
          <w:sz w:val="24"/>
          <w:szCs w:val="24"/>
          <w:lang w:val="pl-PL" w:eastAsia="en-GB"/>
        </w:rPr>
        <w:t>Izuzetno od stavka 1. podstavka 3. ovog članka, kada se godišnji iznos komunalne naknade za cijelu tekuću godinu, utvrđuje u toku godine, obroci komunalne naknade od siječnja do mjeseca koji slijedi mjesecu izdavanja rješenja dospijevaju 20-og u idućem mjesecu od mjeseca u kojem je rješnje izdano, a svaki idući obrok dospijeva 20-og u mjesecu za taj mjesec kalendarske godine.</w:t>
      </w:r>
    </w:p>
    <w:p w14:paraId="125EEAA4" w14:textId="1E0339BB" w:rsidR="00EE48FD" w:rsidRPr="00EE48FD" w:rsidRDefault="00EE48FD">
      <w:pPr>
        <w:spacing w:line="259" w:lineRule="auto"/>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br w:type="page"/>
      </w:r>
    </w:p>
    <w:p w14:paraId="7CCA7599" w14:textId="77777777" w:rsidR="008C2837" w:rsidRPr="00EE48FD" w:rsidRDefault="008C2837" w:rsidP="008C2837">
      <w:pPr>
        <w:shd w:val="clear" w:color="auto" w:fill="FFFFFF"/>
        <w:tabs>
          <w:tab w:val="left" w:pos="0"/>
        </w:tabs>
        <w:spacing w:after="0" w:line="240" w:lineRule="auto"/>
        <w:jc w:val="both"/>
        <w:rPr>
          <w:rFonts w:ascii="Times New Roman" w:eastAsia="Times New Roman" w:hAnsi="Times New Roman" w:cs="Times New Roman"/>
          <w:sz w:val="24"/>
          <w:szCs w:val="24"/>
          <w:lang w:val="pl-PL" w:eastAsia="en-GB"/>
        </w:rPr>
      </w:pPr>
    </w:p>
    <w:bookmarkEnd w:id="1"/>
    <w:p w14:paraId="5E5C53D8" w14:textId="226B3DD9" w:rsidR="008C2837" w:rsidRPr="00EE48FD" w:rsidRDefault="008C2837" w:rsidP="008C2837">
      <w:pPr>
        <w:shd w:val="clear" w:color="auto" w:fill="FFFFFF"/>
        <w:tabs>
          <w:tab w:val="left" w:pos="0"/>
        </w:tabs>
        <w:spacing w:after="0" w:line="240" w:lineRule="auto"/>
        <w:ind w:left="426" w:hanging="426"/>
        <w:jc w:val="center"/>
        <w:rPr>
          <w:rFonts w:ascii="Times New Roman" w:eastAsia="Times New Roman" w:hAnsi="Times New Roman" w:cs="Times New Roman"/>
          <w:sz w:val="24"/>
          <w:szCs w:val="24"/>
          <w:lang w:eastAsia="en-GB"/>
        </w:rPr>
      </w:pPr>
      <w:proofErr w:type="spellStart"/>
      <w:r w:rsidRPr="00EE48FD">
        <w:rPr>
          <w:rFonts w:ascii="Times New Roman" w:eastAsia="Times New Roman" w:hAnsi="Times New Roman" w:cs="Times New Roman"/>
          <w:sz w:val="24"/>
          <w:szCs w:val="24"/>
          <w:lang w:eastAsia="en-GB"/>
        </w:rPr>
        <w:t>Članak</w:t>
      </w:r>
      <w:proofErr w:type="spellEnd"/>
      <w:r w:rsidRPr="00EE48FD">
        <w:rPr>
          <w:rFonts w:ascii="Times New Roman" w:eastAsia="Times New Roman" w:hAnsi="Times New Roman" w:cs="Times New Roman"/>
          <w:sz w:val="24"/>
          <w:szCs w:val="24"/>
          <w:lang w:eastAsia="en-GB"/>
        </w:rPr>
        <w:t xml:space="preserve"> 14.</w:t>
      </w:r>
      <w:r w:rsidR="00351698" w:rsidRPr="00EE48FD">
        <w:rPr>
          <w:rFonts w:ascii="Times New Roman" w:eastAsia="Times New Roman" w:hAnsi="Times New Roman" w:cs="Times New Roman"/>
          <w:sz w:val="24"/>
          <w:szCs w:val="24"/>
          <w:lang w:eastAsia="en-GB"/>
        </w:rPr>
        <w:t xml:space="preserve"> </w:t>
      </w:r>
    </w:p>
    <w:p w14:paraId="17095D23" w14:textId="77777777" w:rsidR="008C2837" w:rsidRPr="00EE48FD" w:rsidRDefault="008C2837" w:rsidP="008C2837">
      <w:pPr>
        <w:shd w:val="clear" w:color="auto" w:fill="FFFFFF"/>
        <w:spacing w:after="0" w:line="240" w:lineRule="auto"/>
        <w:jc w:val="center"/>
        <w:rPr>
          <w:rFonts w:ascii="Times New Roman" w:eastAsia="Times New Roman" w:hAnsi="Times New Roman" w:cs="Times New Roman"/>
          <w:sz w:val="24"/>
          <w:szCs w:val="24"/>
          <w:lang w:eastAsia="en-GB"/>
        </w:rPr>
      </w:pPr>
    </w:p>
    <w:p w14:paraId="5D46CF1F" w14:textId="77777777" w:rsidR="008C2837" w:rsidRPr="00EE48FD" w:rsidRDefault="008C2837" w:rsidP="008C2837">
      <w:pPr>
        <w:numPr>
          <w:ilvl w:val="0"/>
          <w:numId w:val="8"/>
        </w:numPr>
        <w:spacing w:after="0" w:line="240" w:lineRule="auto"/>
        <w:ind w:left="0" w:firstLine="0"/>
        <w:contextualSpacing/>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 xml:space="preserve">U slučaju iz članka 7. stavka 1. ove Odluke, utvrđeni iznos komunalne naknade plaća se u jednom obroku, a dospijeva u roku od 15 dana od dana primitka rješenja. </w:t>
      </w:r>
    </w:p>
    <w:p w14:paraId="0084B613" w14:textId="78ECE845" w:rsidR="008C2837" w:rsidRPr="00EE48FD" w:rsidRDefault="008C2837" w:rsidP="008C2837">
      <w:pPr>
        <w:numPr>
          <w:ilvl w:val="0"/>
          <w:numId w:val="8"/>
        </w:numPr>
        <w:spacing w:after="0" w:line="240" w:lineRule="auto"/>
        <w:ind w:left="0" w:firstLine="0"/>
        <w:contextualSpacing/>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U slučaju nastanka obveze iz članka 8. stavka 1. ove Odluke, ukoliko je ukupni iznos komunalne naknade za stambeni ili garažni prostor, manji ili jednak iznosu od</w:t>
      </w:r>
      <w:r w:rsidR="005929BC" w:rsidRPr="00EE48FD">
        <w:rPr>
          <w:rFonts w:ascii="Times New Roman" w:eastAsia="Times New Roman" w:hAnsi="Times New Roman" w:cs="Times New Roman"/>
          <w:sz w:val="24"/>
          <w:szCs w:val="24"/>
          <w:lang w:val="pl-PL" w:eastAsia="en-GB"/>
        </w:rPr>
        <w:t xml:space="preserve"> </w:t>
      </w:r>
      <w:r w:rsidRPr="00EE48FD">
        <w:rPr>
          <w:rFonts w:ascii="Times New Roman" w:eastAsia="Times New Roman" w:hAnsi="Times New Roman" w:cs="Times New Roman"/>
          <w:sz w:val="24"/>
          <w:szCs w:val="24"/>
          <w:lang w:val="pl-PL" w:eastAsia="en-GB"/>
        </w:rPr>
        <w:t xml:space="preserve"> 30,00 EUR (slovima: trideset eura), odnosno ukoliko je ukupni iznos komunalne naknade za poslovne prostore i građevinsko zemljište koje služi obavljanju poslovne djelatnosti, manji ili jednak iznosu od </w:t>
      </w:r>
      <w:r w:rsidR="005929BC" w:rsidRPr="00EE48FD">
        <w:rPr>
          <w:rFonts w:ascii="Times New Roman" w:eastAsia="Times New Roman" w:hAnsi="Times New Roman" w:cs="Times New Roman"/>
          <w:sz w:val="24"/>
          <w:szCs w:val="24"/>
          <w:lang w:val="pl-PL" w:eastAsia="en-GB"/>
        </w:rPr>
        <w:t xml:space="preserve"> </w:t>
      </w:r>
      <w:r w:rsidRPr="00EE48FD">
        <w:rPr>
          <w:rFonts w:ascii="Times New Roman" w:eastAsia="Times New Roman" w:hAnsi="Times New Roman" w:cs="Times New Roman"/>
          <w:sz w:val="24"/>
          <w:szCs w:val="24"/>
          <w:lang w:val="pl-PL" w:eastAsia="en-GB"/>
        </w:rPr>
        <w:t>130,00 EUR (slovima: stotrideset eura) isti se plaća u jednom obroku, a dospijeva na naplatu, u roku od 15 dana od dana primitka rješenja.</w:t>
      </w:r>
    </w:p>
    <w:p w14:paraId="7E49BA42" w14:textId="6B7FB9AE" w:rsidR="008C2837" w:rsidRPr="00EE48FD" w:rsidRDefault="008C2837" w:rsidP="008C2837">
      <w:pPr>
        <w:numPr>
          <w:ilvl w:val="0"/>
          <w:numId w:val="8"/>
        </w:numPr>
        <w:spacing w:line="254" w:lineRule="auto"/>
        <w:ind w:left="0" w:firstLine="0"/>
        <w:contextualSpacing/>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 xml:space="preserve"> U slučaju nastanka obveze iz članka 8. stavka 1. ove Odluke, ukoliko je ukupni iznos komunalne naknade za stambeni ili garažni prostor, veći od</w:t>
      </w:r>
      <w:r w:rsidR="005929BC" w:rsidRPr="00EE48FD">
        <w:rPr>
          <w:rFonts w:ascii="Times New Roman" w:eastAsia="Times New Roman" w:hAnsi="Times New Roman" w:cs="Times New Roman"/>
          <w:sz w:val="24"/>
          <w:szCs w:val="24"/>
          <w:lang w:val="pl-PL" w:eastAsia="en-GB"/>
        </w:rPr>
        <w:t xml:space="preserve"> </w:t>
      </w:r>
      <w:r w:rsidR="00EE48FD" w:rsidRPr="00EE48FD">
        <w:rPr>
          <w:rFonts w:ascii="Times New Roman" w:eastAsia="Times New Roman" w:hAnsi="Times New Roman" w:cs="Times New Roman"/>
          <w:sz w:val="24"/>
          <w:szCs w:val="24"/>
          <w:lang w:val="pl-PL" w:eastAsia="en-GB"/>
        </w:rPr>
        <w:t xml:space="preserve"> </w:t>
      </w:r>
      <w:r w:rsidRPr="00EE48FD">
        <w:rPr>
          <w:rFonts w:ascii="Times New Roman" w:eastAsia="Times New Roman" w:hAnsi="Times New Roman" w:cs="Times New Roman"/>
          <w:sz w:val="24"/>
          <w:szCs w:val="24"/>
          <w:lang w:val="pl-PL" w:eastAsia="en-GB"/>
        </w:rPr>
        <w:t>30,00 EUR (slovima: trideset eura), odnosno ukoliko je ukupni iznos komunalne naknade za poslovne prostore i građevinsko zemljište  koje služi obavljanju poslovne djelatnosti, veći od</w:t>
      </w:r>
      <w:r w:rsidR="005929BC" w:rsidRPr="00EE48FD">
        <w:rPr>
          <w:rFonts w:ascii="Times New Roman" w:eastAsia="Times New Roman" w:hAnsi="Times New Roman" w:cs="Times New Roman"/>
          <w:sz w:val="24"/>
          <w:szCs w:val="24"/>
          <w:lang w:val="pl-PL" w:eastAsia="en-GB"/>
        </w:rPr>
        <w:t xml:space="preserve"> </w:t>
      </w:r>
      <w:r w:rsidRPr="00EE48FD">
        <w:rPr>
          <w:rFonts w:ascii="Times New Roman" w:eastAsia="Times New Roman" w:hAnsi="Times New Roman" w:cs="Times New Roman"/>
          <w:sz w:val="24"/>
          <w:szCs w:val="24"/>
          <w:lang w:val="pl-PL" w:eastAsia="en-GB"/>
        </w:rPr>
        <w:t xml:space="preserve">130,00 EUR (slovima: stotrideseteura), </w:t>
      </w:r>
      <w:bookmarkStart w:id="2" w:name="_Hlk211863993"/>
      <w:r w:rsidRPr="00EE48FD">
        <w:rPr>
          <w:rFonts w:ascii="Times New Roman" w:eastAsia="Times New Roman" w:hAnsi="Times New Roman" w:cs="Times New Roman"/>
          <w:sz w:val="24"/>
          <w:szCs w:val="24"/>
          <w:lang w:val="pl-PL" w:eastAsia="en-GB"/>
        </w:rPr>
        <w:t>utvrđeni iznos komunalne naknade plaća se u toliko obroka koliko mjeseci preostaje do kraja tekuće kalendarske godine, s time da prvi obrok dospijeva 20-og u idućem mjesecu računajući od mjeseca u kojem je rješenje izdano, a svaki idući obrok dospijeva na naplatu 20-og u tekućem mjesecu</w:t>
      </w:r>
      <w:bookmarkEnd w:id="2"/>
      <w:r w:rsidRPr="00EE48FD">
        <w:rPr>
          <w:rFonts w:ascii="Times New Roman" w:eastAsia="Times New Roman" w:hAnsi="Times New Roman" w:cs="Times New Roman"/>
          <w:sz w:val="24"/>
          <w:szCs w:val="24"/>
          <w:lang w:val="pl-PL" w:eastAsia="en-GB"/>
        </w:rPr>
        <w:t>.</w:t>
      </w:r>
    </w:p>
    <w:p w14:paraId="6D7B817E" w14:textId="77777777" w:rsidR="008C2837" w:rsidRPr="00EE48FD" w:rsidRDefault="008C2837" w:rsidP="008C2837">
      <w:pPr>
        <w:numPr>
          <w:ilvl w:val="0"/>
          <w:numId w:val="8"/>
        </w:numPr>
        <w:spacing w:after="0" w:line="240" w:lineRule="auto"/>
        <w:ind w:left="0" w:firstLine="0"/>
        <w:contextualSpacing/>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U slučaju prestanka obveze</w:t>
      </w:r>
      <w:r w:rsidRPr="00EE48FD">
        <w:rPr>
          <w:rFonts w:ascii="Aptos" w:eastAsia="Aptos" w:hAnsi="Aptos" w:cs="Times New Roman"/>
          <w:sz w:val="24"/>
          <w:szCs w:val="24"/>
          <w:lang w:val="pl-PL"/>
        </w:rPr>
        <w:t xml:space="preserve"> </w:t>
      </w:r>
      <w:r w:rsidRPr="00EE48FD">
        <w:rPr>
          <w:rFonts w:ascii="Times New Roman" w:eastAsia="Times New Roman" w:hAnsi="Times New Roman" w:cs="Times New Roman"/>
          <w:sz w:val="24"/>
          <w:szCs w:val="24"/>
          <w:lang w:val="pl-PL" w:eastAsia="en-GB"/>
        </w:rPr>
        <w:t xml:space="preserve">iz članka 8. stavka 1. ove Odluke, utvrđeni iznos komunalne naknade plaća se u jednom obrokku koji dospijeva u roku od 15 dana od dana primitka rješenja o komunalnoj naknadi. </w:t>
      </w:r>
    </w:p>
    <w:p w14:paraId="3623AC65" w14:textId="77777777" w:rsidR="008C2837" w:rsidRPr="00EE48FD" w:rsidRDefault="008C2837" w:rsidP="008C2837">
      <w:pPr>
        <w:numPr>
          <w:ilvl w:val="0"/>
          <w:numId w:val="8"/>
        </w:numPr>
        <w:shd w:val="clear" w:color="auto" w:fill="FFFFFF"/>
        <w:spacing w:after="0" w:line="240" w:lineRule="auto"/>
        <w:ind w:left="0" w:firstLine="0"/>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 xml:space="preserve">U slučajevima kada se komunalna naknada za hotele, turistička naselja, kampove i golf igrališta, donosi u toku godine, utvrđeni iznos komunalne naknade plaća se u toliko obroka koliko mjeseci preostaje do kraja tekuće kalendarske godine, s time da prvi obrok dospijeva 20-og u idućem mjesecu računajući od mjeseca u kojem je rješenje izdano, a svaki idući obrok dospijeva na naplatu 20-og u tekućem mjesecu. </w:t>
      </w:r>
    </w:p>
    <w:p w14:paraId="11996EA5" w14:textId="77777777" w:rsidR="008C2837" w:rsidRPr="00EE48FD" w:rsidRDefault="008C2837" w:rsidP="008C2837">
      <w:pPr>
        <w:numPr>
          <w:ilvl w:val="0"/>
          <w:numId w:val="8"/>
        </w:numPr>
        <w:shd w:val="clear" w:color="auto" w:fill="FFFFFF"/>
        <w:spacing w:after="0" w:line="240" w:lineRule="auto"/>
        <w:ind w:left="0" w:firstLine="0"/>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U slučaju iz članka 10. ove Odluke, utvrđeni iznos komunalne naknade za prethodnu godinu plaća se u jednom obroku, a dospijeva u roku od 15 dana od dana primitka rješenja.</w:t>
      </w:r>
    </w:p>
    <w:p w14:paraId="46365C26" w14:textId="77777777" w:rsidR="008C2837" w:rsidRPr="00EE48FD" w:rsidRDefault="008C2837" w:rsidP="008C2837">
      <w:pPr>
        <w:shd w:val="clear" w:color="auto" w:fill="FFFFFF"/>
        <w:spacing w:after="0" w:line="240" w:lineRule="auto"/>
        <w:jc w:val="both"/>
        <w:rPr>
          <w:rFonts w:ascii="Times New Roman" w:eastAsia="Times New Roman" w:hAnsi="Times New Roman" w:cs="Times New Roman"/>
          <w:sz w:val="24"/>
          <w:szCs w:val="24"/>
          <w:lang w:val="pl-PL" w:eastAsia="en-GB"/>
        </w:rPr>
      </w:pPr>
    </w:p>
    <w:p w14:paraId="2E79FE17" w14:textId="77777777" w:rsidR="008C2837" w:rsidRPr="00EE48FD" w:rsidRDefault="008C2837" w:rsidP="008C2837">
      <w:pPr>
        <w:shd w:val="clear" w:color="auto" w:fill="FFFFFF"/>
        <w:spacing w:after="0" w:line="240" w:lineRule="auto"/>
        <w:rPr>
          <w:rFonts w:ascii="Times New Roman" w:eastAsia="Times New Roman" w:hAnsi="Times New Roman" w:cs="Times New Roman"/>
          <w:sz w:val="24"/>
          <w:szCs w:val="24"/>
          <w:lang w:eastAsia="en-GB"/>
        </w:rPr>
      </w:pPr>
      <w:r w:rsidRPr="00EE48FD">
        <w:rPr>
          <w:rFonts w:ascii="Times New Roman" w:eastAsia="Times New Roman" w:hAnsi="Times New Roman" w:cs="Times New Roman"/>
          <w:b/>
          <w:bCs/>
          <w:sz w:val="24"/>
          <w:szCs w:val="24"/>
          <w:lang w:eastAsia="en-GB"/>
        </w:rPr>
        <w:t>OSLOBOĐENJA</w:t>
      </w:r>
    </w:p>
    <w:p w14:paraId="19157B7E" w14:textId="77777777" w:rsidR="008C2837" w:rsidRPr="00EE48FD" w:rsidRDefault="008C2837" w:rsidP="008C2837">
      <w:pPr>
        <w:shd w:val="clear" w:color="auto" w:fill="FFFFFF"/>
        <w:spacing w:after="0" w:line="240" w:lineRule="auto"/>
        <w:jc w:val="center"/>
        <w:rPr>
          <w:rFonts w:ascii="Times New Roman" w:eastAsia="Times New Roman" w:hAnsi="Times New Roman" w:cs="Times New Roman"/>
          <w:sz w:val="24"/>
          <w:szCs w:val="24"/>
          <w:lang w:eastAsia="en-GB"/>
        </w:rPr>
      </w:pPr>
      <w:proofErr w:type="spellStart"/>
      <w:r w:rsidRPr="00EE48FD">
        <w:rPr>
          <w:rFonts w:ascii="Times New Roman" w:eastAsia="Times New Roman" w:hAnsi="Times New Roman" w:cs="Times New Roman"/>
          <w:sz w:val="24"/>
          <w:szCs w:val="24"/>
          <w:lang w:eastAsia="en-GB"/>
        </w:rPr>
        <w:t>Članak</w:t>
      </w:r>
      <w:proofErr w:type="spellEnd"/>
      <w:r w:rsidRPr="00EE48FD">
        <w:rPr>
          <w:rFonts w:ascii="Times New Roman" w:eastAsia="Times New Roman" w:hAnsi="Times New Roman" w:cs="Times New Roman"/>
          <w:sz w:val="24"/>
          <w:szCs w:val="24"/>
          <w:lang w:eastAsia="en-GB"/>
        </w:rPr>
        <w:t xml:space="preserve"> 15.</w:t>
      </w:r>
    </w:p>
    <w:p w14:paraId="682F6105" w14:textId="77777777" w:rsidR="008C2837" w:rsidRPr="00EE48FD" w:rsidRDefault="008C2837" w:rsidP="008C2837">
      <w:pPr>
        <w:shd w:val="clear" w:color="auto" w:fill="FFFFFF"/>
        <w:spacing w:after="0" w:line="240" w:lineRule="auto"/>
        <w:jc w:val="center"/>
        <w:rPr>
          <w:rFonts w:ascii="Times New Roman" w:eastAsia="Times New Roman" w:hAnsi="Times New Roman" w:cs="Times New Roman"/>
          <w:sz w:val="24"/>
          <w:szCs w:val="24"/>
          <w:lang w:eastAsia="en-GB"/>
        </w:rPr>
      </w:pPr>
    </w:p>
    <w:p w14:paraId="7CA9EB42" w14:textId="77777777" w:rsidR="008C2837" w:rsidRPr="00EE48FD" w:rsidRDefault="008C2837" w:rsidP="008C2837">
      <w:pPr>
        <w:shd w:val="clear" w:color="auto" w:fill="FFFFFF"/>
        <w:spacing w:after="0" w:line="240" w:lineRule="auto"/>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(1) Od obveze plaćanja komunalne naknade u potpunosti se oslobađaju nekretnine od važnosti za Grad Opatiju :</w:t>
      </w:r>
    </w:p>
    <w:p w14:paraId="1DB33924" w14:textId="77777777" w:rsidR="008C2837" w:rsidRPr="00EE48FD" w:rsidRDefault="008C2837" w:rsidP="008C2837">
      <w:pPr>
        <w:shd w:val="clear" w:color="auto" w:fill="FFFFFF"/>
        <w:spacing w:after="0" w:line="240" w:lineRule="auto"/>
        <w:ind w:firstLine="708"/>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1. kojima se koristi ustanova Festival Opatija i Hrvatski muzej turizma,</w:t>
      </w:r>
    </w:p>
    <w:p w14:paraId="7FA3DEC9" w14:textId="77777777" w:rsidR="008C2837" w:rsidRPr="00EE48FD" w:rsidRDefault="008C2837" w:rsidP="008C2837">
      <w:pPr>
        <w:shd w:val="clear" w:color="auto" w:fill="FFFFFF"/>
        <w:spacing w:after="0" w:line="240" w:lineRule="auto"/>
        <w:ind w:firstLine="708"/>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2. kojima se koristi ustanova Gradska čitaonica i knjižnica V.C. Emin u Opatiji,</w:t>
      </w:r>
    </w:p>
    <w:p w14:paraId="4CA6B483" w14:textId="77777777" w:rsidR="008C2837" w:rsidRPr="00EE48FD" w:rsidRDefault="008C2837" w:rsidP="008C2837">
      <w:pPr>
        <w:shd w:val="clear" w:color="auto" w:fill="FFFFFF"/>
        <w:spacing w:after="0" w:line="240" w:lineRule="auto"/>
        <w:ind w:firstLine="708"/>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3. kojima se koristi ustanova Dječji vrtić Opatija,</w:t>
      </w:r>
    </w:p>
    <w:p w14:paraId="3267EA38" w14:textId="77777777" w:rsidR="008C2837" w:rsidRPr="00EE48FD" w:rsidRDefault="008C2837" w:rsidP="008C2837">
      <w:pPr>
        <w:shd w:val="clear" w:color="auto" w:fill="FFFFFF"/>
        <w:spacing w:after="0" w:line="240" w:lineRule="auto"/>
        <w:ind w:firstLine="708"/>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4. kojima se koristi Javna vatrogasna postrojba Opatija,</w:t>
      </w:r>
    </w:p>
    <w:p w14:paraId="57913E02" w14:textId="77777777" w:rsidR="008C2837" w:rsidRPr="00EE48FD" w:rsidRDefault="008C2837" w:rsidP="008C2837">
      <w:pPr>
        <w:shd w:val="clear" w:color="auto" w:fill="FFFFFF"/>
        <w:spacing w:after="0" w:line="240" w:lineRule="auto"/>
        <w:ind w:firstLine="708"/>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5. u kojima je sjedište Grada Opatije i u kojima se obavljaju poslovi gradske uprave,</w:t>
      </w:r>
    </w:p>
    <w:p w14:paraId="7A04C07E" w14:textId="77777777" w:rsidR="008C2837" w:rsidRPr="00EE48FD" w:rsidRDefault="008C2837" w:rsidP="008C2837">
      <w:pPr>
        <w:shd w:val="clear" w:color="auto" w:fill="FFFFFF"/>
        <w:spacing w:after="0" w:line="240" w:lineRule="auto"/>
        <w:ind w:firstLine="708"/>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6. koje koriste sportski klubovi temeljem ugovora o davanju športskog objekta na upravljanje zaključenog sa Gradom Opatija,</w:t>
      </w:r>
    </w:p>
    <w:p w14:paraId="2359A5F3" w14:textId="77777777" w:rsidR="008C2837" w:rsidRPr="00EE48FD" w:rsidRDefault="008C2837" w:rsidP="008C2837">
      <w:pPr>
        <w:shd w:val="clear" w:color="auto" w:fill="FFFFFF"/>
        <w:spacing w:after="0" w:line="240" w:lineRule="auto"/>
        <w:ind w:firstLine="708"/>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7. kojima se koristi Osnovna škola Rikard Katalinić Jeretov iz Opatije za obavljanje</w:t>
      </w:r>
    </w:p>
    <w:p w14:paraId="41401EA3" w14:textId="77777777" w:rsidR="008C2837" w:rsidRPr="00EE48FD" w:rsidRDefault="008C2837" w:rsidP="008C2837">
      <w:pPr>
        <w:shd w:val="clear" w:color="auto" w:fill="FFFFFF"/>
        <w:spacing w:after="0" w:line="240" w:lineRule="auto"/>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 xml:space="preserve">           svoje djelatnosti.</w:t>
      </w:r>
    </w:p>
    <w:p w14:paraId="53E4385E" w14:textId="77777777" w:rsidR="008C2837" w:rsidRPr="00EE48FD" w:rsidRDefault="008C2837" w:rsidP="008C2837">
      <w:pPr>
        <w:shd w:val="clear" w:color="auto" w:fill="FFFFFF"/>
        <w:spacing w:after="0" w:line="240" w:lineRule="auto"/>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(2) Od obveze plaćanja komunalne naknade neće se osloboditi korisnici nekretnina iz stavka 1. ovog članka ako te nekretnine daju u najam, podnajam, zakup, podzakup ili na privremeno korištenje.</w:t>
      </w:r>
    </w:p>
    <w:p w14:paraId="7553503A" w14:textId="77777777" w:rsidR="008C2837" w:rsidRPr="00EE48FD" w:rsidRDefault="008C2837" w:rsidP="008C2837">
      <w:pPr>
        <w:shd w:val="clear" w:color="auto" w:fill="FFFFFF"/>
        <w:spacing w:after="0" w:line="240" w:lineRule="auto"/>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(3) Grad Opatija rješenjem odlučuje o potpunom oslobađanju obveze plaćanja komunalne naknade iz stavka 1. ovog članka Odluke.</w:t>
      </w:r>
    </w:p>
    <w:p w14:paraId="1839B85C" w14:textId="7C69CBE1" w:rsidR="00187A9E" w:rsidRPr="00EE48FD" w:rsidRDefault="00187A9E">
      <w:pPr>
        <w:spacing w:line="259" w:lineRule="auto"/>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br w:type="page"/>
      </w:r>
    </w:p>
    <w:p w14:paraId="01BF7140" w14:textId="77777777" w:rsidR="008C2837" w:rsidRPr="00EE48FD" w:rsidRDefault="008C2837" w:rsidP="008C2837">
      <w:pPr>
        <w:shd w:val="clear" w:color="auto" w:fill="FFFFFF"/>
        <w:spacing w:after="0" w:line="240" w:lineRule="auto"/>
        <w:jc w:val="both"/>
        <w:rPr>
          <w:rFonts w:ascii="Times New Roman" w:eastAsia="Times New Roman" w:hAnsi="Times New Roman" w:cs="Times New Roman"/>
          <w:sz w:val="24"/>
          <w:szCs w:val="24"/>
          <w:lang w:val="pl-PL" w:eastAsia="en-GB"/>
        </w:rPr>
      </w:pPr>
    </w:p>
    <w:p w14:paraId="79625B7D" w14:textId="77777777" w:rsidR="008C2837" w:rsidRPr="00EE48FD" w:rsidRDefault="008C2837" w:rsidP="008C2837">
      <w:pPr>
        <w:shd w:val="clear" w:color="auto" w:fill="FFFFFF"/>
        <w:spacing w:after="0" w:line="240" w:lineRule="auto"/>
        <w:jc w:val="center"/>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Članak 16.</w:t>
      </w:r>
    </w:p>
    <w:p w14:paraId="4D5CC1D8" w14:textId="77777777" w:rsidR="008C2837" w:rsidRPr="00EE48FD" w:rsidRDefault="008C2837" w:rsidP="008C2837">
      <w:pPr>
        <w:shd w:val="clear" w:color="auto" w:fill="FFFFFF"/>
        <w:spacing w:after="0" w:line="240" w:lineRule="auto"/>
        <w:jc w:val="center"/>
        <w:rPr>
          <w:rFonts w:ascii="Times New Roman" w:eastAsia="Times New Roman" w:hAnsi="Times New Roman" w:cs="Times New Roman"/>
          <w:sz w:val="24"/>
          <w:szCs w:val="24"/>
          <w:lang w:val="pl-PL" w:eastAsia="en-GB"/>
        </w:rPr>
      </w:pPr>
    </w:p>
    <w:p w14:paraId="7A8569FC" w14:textId="77777777" w:rsidR="008C2837" w:rsidRPr="00EE48FD" w:rsidRDefault="008C2837" w:rsidP="002C0007">
      <w:pPr>
        <w:shd w:val="clear" w:color="auto" w:fill="FFFFFF"/>
        <w:spacing w:after="0" w:line="240" w:lineRule="auto"/>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(1) Obveze plaćanja komunalne naknade potpuno će se osloboditi vlasnik ili korisnik stambenog prostora koji ima status hrvatskog ratnog vojnog invalida iz Domovinskog rata i člana obitelji poginulog, zatočenog ili nestalog hrvatskog branitelja iz Domovinskog rata utvrđen suglasno važećem zakonskom propisu o pravima hrvatskih branitelja iz Domovinskog rata i članova njihovih obitelji.</w:t>
      </w:r>
    </w:p>
    <w:p w14:paraId="6B3FE5AD" w14:textId="77777777" w:rsidR="008C2837" w:rsidRPr="009F7D6D" w:rsidRDefault="008C2837" w:rsidP="002C0007">
      <w:pPr>
        <w:shd w:val="clear" w:color="auto" w:fill="FFFFFF"/>
        <w:spacing w:after="0" w:line="240" w:lineRule="auto"/>
        <w:jc w:val="both"/>
        <w:rPr>
          <w:rFonts w:ascii="Times New Roman" w:eastAsia="Times New Roman" w:hAnsi="Times New Roman" w:cs="Times New Roman"/>
          <w:sz w:val="24"/>
          <w:szCs w:val="24"/>
          <w:lang w:val="hr-HR" w:eastAsia="en-GB"/>
        </w:rPr>
      </w:pPr>
      <w:r w:rsidRPr="009F7D6D">
        <w:rPr>
          <w:rFonts w:ascii="Times New Roman" w:eastAsia="Times New Roman" w:hAnsi="Times New Roman" w:cs="Times New Roman"/>
          <w:sz w:val="24"/>
          <w:szCs w:val="24"/>
          <w:lang w:val="hr-HR" w:eastAsia="en-GB"/>
        </w:rPr>
        <w:t>(2) Osoba iz stavka 1.ovog članka obvezna je podnijeti zahtjev za oslobađanje uz koji se prilažu odgovarajući pisani dokazi o ispunjenju činjenica bitnih za oslobođenje od plaćanja iz stavka 1.ovog članka.</w:t>
      </w:r>
    </w:p>
    <w:p w14:paraId="0D5B04E1" w14:textId="77777777" w:rsidR="008C2837" w:rsidRPr="009F7D6D" w:rsidRDefault="008C2837" w:rsidP="002C0007">
      <w:pPr>
        <w:shd w:val="clear" w:color="auto" w:fill="FFFFFF"/>
        <w:spacing w:after="0" w:line="240" w:lineRule="auto"/>
        <w:jc w:val="both"/>
        <w:rPr>
          <w:rFonts w:ascii="Times New Roman" w:eastAsia="Times New Roman" w:hAnsi="Times New Roman" w:cs="Times New Roman"/>
          <w:sz w:val="24"/>
          <w:szCs w:val="24"/>
          <w:lang w:val="hr-HR" w:eastAsia="en-GB"/>
        </w:rPr>
      </w:pPr>
      <w:r w:rsidRPr="009F7D6D">
        <w:rPr>
          <w:rFonts w:ascii="Times New Roman" w:eastAsia="Times New Roman" w:hAnsi="Times New Roman" w:cs="Times New Roman"/>
          <w:sz w:val="24"/>
          <w:szCs w:val="24"/>
          <w:lang w:val="hr-HR" w:eastAsia="en-GB"/>
        </w:rPr>
        <w:t>(3) Od obveze plaćanja komunalne naknade privremeno se oslobađaju vlasnici neizgrađenog građevinskog zemljišta dok se ne ishodi bilo kakav pravomoćni akt za gradnju građevine na tom zemljištu.</w:t>
      </w:r>
    </w:p>
    <w:p w14:paraId="77D6D5EB" w14:textId="77777777" w:rsidR="008C2837" w:rsidRPr="00EE48FD" w:rsidRDefault="008C2837" w:rsidP="002C0007">
      <w:pPr>
        <w:shd w:val="clear" w:color="auto" w:fill="FFFFFF"/>
        <w:spacing w:after="0" w:line="240" w:lineRule="auto"/>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(4) O oslobođenju od plaćanja komunalne naknade, prema stavku 1. ovog članka Odluke, donosi se rješenje.</w:t>
      </w:r>
    </w:p>
    <w:p w14:paraId="07D9A2B1" w14:textId="77777777" w:rsidR="008C2837" w:rsidRPr="00EE48FD" w:rsidRDefault="008C2837" w:rsidP="008C2837">
      <w:pPr>
        <w:shd w:val="clear" w:color="auto" w:fill="FFFFFF"/>
        <w:spacing w:after="0" w:line="240" w:lineRule="auto"/>
        <w:rPr>
          <w:rFonts w:ascii="Times New Roman" w:eastAsia="Times New Roman" w:hAnsi="Times New Roman" w:cs="Times New Roman"/>
          <w:sz w:val="24"/>
          <w:szCs w:val="24"/>
          <w:lang w:val="pl-PL" w:eastAsia="en-GB"/>
        </w:rPr>
      </w:pPr>
    </w:p>
    <w:p w14:paraId="43431FC4" w14:textId="77777777" w:rsidR="008C2837" w:rsidRPr="00EE48FD" w:rsidRDefault="008C2837" w:rsidP="008C2837">
      <w:pPr>
        <w:shd w:val="clear" w:color="auto" w:fill="FFFFFF"/>
        <w:spacing w:after="0" w:line="240" w:lineRule="auto"/>
        <w:jc w:val="center"/>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Članak 17.</w:t>
      </w:r>
    </w:p>
    <w:p w14:paraId="01267647" w14:textId="77777777" w:rsidR="008C2837" w:rsidRPr="00EE48FD" w:rsidRDefault="008C2837" w:rsidP="008C2837">
      <w:pPr>
        <w:shd w:val="clear" w:color="auto" w:fill="FFFFFF"/>
        <w:spacing w:after="0" w:line="240" w:lineRule="auto"/>
        <w:jc w:val="center"/>
        <w:rPr>
          <w:rFonts w:ascii="Times New Roman" w:eastAsia="Times New Roman" w:hAnsi="Times New Roman" w:cs="Times New Roman"/>
          <w:sz w:val="24"/>
          <w:szCs w:val="24"/>
          <w:lang w:val="pl-PL" w:eastAsia="en-GB"/>
        </w:rPr>
      </w:pPr>
    </w:p>
    <w:p w14:paraId="3B942DA0" w14:textId="77777777" w:rsidR="008C2837" w:rsidRPr="00EE48FD" w:rsidRDefault="008C2837" w:rsidP="008C2837">
      <w:pPr>
        <w:shd w:val="clear" w:color="auto" w:fill="FFFFFF"/>
        <w:spacing w:after="0" w:line="240" w:lineRule="auto"/>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(1) Od obveze plaćanja komunalne naknade privremeno će se osloboditi:</w:t>
      </w:r>
    </w:p>
    <w:p w14:paraId="3EA736EE" w14:textId="52CEDC30" w:rsidR="008C2837" w:rsidRPr="00EE48FD" w:rsidRDefault="008C2837" w:rsidP="008C2837">
      <w:pPr>
        <w:shd w:val="clear" w:color="auto" w:fill="FFFFFF"/>
        <w:spacing w:after="0" w:line="240" w:lineRule="auto"/>
        <w:ind w:firstLine="708"/>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1.  najmoprimatelji i vlasnici stanova za stanove u kojima stanuju, pod uvjetom da ostvaruju pravo na pomoć za uzdržavanje sukladno Zakonu o socijalnoj skrbi ili pravo na subvenciju komunalnih usluga po socijalnom programu Grada Opatije, na vrijeme dok takva potreba traje</w:t>
      </w:r>
      <w:r w:rsidR="002C0007" w:rsidRPr="00EE48FD">
        <w:rPr>
          <w:rFonts w:ascii="Times New Roman" w:eastAsia="Times New Roman" w:hAnsi="Times New Roman" w:cs="Times New Roman"/>
          <w:sz w:val="24"/>
          <w:szCs w:val="24"/>
          <w:lang w:val="pl-PL" w:eastAsia="en-GB"/>
        </w:rPr>
        <w:t>,</w:t>
      </w:r>
    </w:p>
    <w:p w14:paraId="2FF32BAB" w14:textId="4C2B8CB7" w:rsidR="008C2837" w:rsidRPr="00EE48FD" w:rsidRDefault="008C2837" w:rsidP="008C2837">
      <w:pPr>
        <w:shd w:val="clear" w:color="auto" w:fill="FFFFFF"/>
        <w:spacing w:after="0" w:line="240" w:lineRule="auto"/>
        <w:ind w:firstLine="708"/>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2. vlasnici odnosno korisnici nekretnina koje se ne mogu koristiti uslijed oštećenja uzrokovanih požarom, poplavom ili drugim elementarnim nepogodama, i to za vrijeme dok se nastala oštećenja ne otklone</w:t>
      </w:r>
      <w:r w:rsidR="002C0007" w:rsidRPr="00EE48FD">
        <w:rPr>
          <w:rFonts w:ascii="Times New Roman" w:eastAsia="Times New Roman" w:hAnsi="Times New Roman" w:cs="Times New Roman"/>
          <w:sz w:val="24"/>
          <w:szCs w:val="24"/>
          <w:lang w:val="pl-PL" w:eastAsia="en-GB"/>
        </w:rPr>
        <w:t>,</w:t>
      </w:r>
    </w:p>
    <w:p w14:paraId="1EDF057B" w14:textId="50BF80C2" w:rsidR="008C2837" w:rsidRPr="00EE48FD" w:rsidRDefault="008C2837" w:rsidP="008C2837">
      <w:pPr>
        <w:shd w:val="clear" w:color="auto" w:fill="FFFFFF"/>
        <w:spacing w:after="0" w:line="240" w:lineRule="auto"/>
        <w:ind w:firstLine="708"/>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 xml:space="preserve">3. vlasnici odnosno korisnici poslovnih prostora, koji uslijed obavljanja građevinskih radova na javnim površinama ne mogu obavljati djelatnost ili obavljaju djelatnost u otežanim uvjetima, ali najduže </w:t>
      </w:r>
      <w:r w:rsidR="002C0007" w:rsidRPr="00EE48FD">
        <w:rPr>
          <w:rFonts w:ascii="Times New Roman" w:eastAsia="Times New Roman" w:hAnsi="Times New Roman" w:cs="Times New Roman"/>
          <w:sz w:val="24"/>
          <w:szCs w:val="24"/>
          <w:lang w:val="pl-PL" w:eastAsia="en-GB"/>
        </w:rPr>
        <w:t xml:space="preserve">za razdoblje od </w:t>
      </w:r>
      <w:r w:rsidRPr="00EE48FD">
        <w:rPr>
          <w:rFonts w:ascii="Times New Roman" w:eastAsia="Times New Roman" w:hAnsi="Times New Roman" w:cs="Times New Roman"/>
          <w:sz w:val="24"/>
          <w:szCs w:val="24"/>
          <w:lang w:val="pl-PL" w:eastAsia="en-GB"/>
        </w:rPr>
        <w:t>6 mjeseci</w:t>
      </w:r>
      <w:r w:rsidR="002C0007" w:rsidRPr="00EE48FD">
        <w:rPr>
          <w:rFonts w:ascii="Times New Roman" w:eastAsia="Times New Roman" w:hAnsi="Times New Roman" w:cs="Times New Roman"/>
          <w:sz w:val="24"/>
          <w:szCs w:val="24"/>
          <w:lang w:val="pl-PL" w:eastAsia="en-GB"/>
        </w:rPr>
        <w:t>,</w:t>
      </w:r>
    </w:p>
    <w:p w14:paraId="5BE5265D" w14:textId="42AD9416" w:rsidR="002C0007" w:rsidRPr="00EE48FD" w:rsidRDefault="002C0007" w:rsidP="008C2837">
      <w:pPr>
        <w:shd w:val="clear" w:color="auto" w:fill="FFFFFF"/>
        <w:spacing w:after="0" w:line="240" w:lineRule="auto"/>
        <w:ind w:firstLine="708"/>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4. korisnici poslovnih prostora koji imaju zaključen ugovor o zakupu s Gradom Opatija, a koji u istom prostoru ne mogu obavljati djelatnost uslijed građevinskih radova koja obavlja Grada Opatija kao vlasnik prostora, za razdoblje dok takva okolnost traje.</w:t>
      </w:r>
    </w:p>
    <w:p w14:paraId="6CE208A9" w14:textId="72909A61" w:rsidR="008C2837" w:rsidRPr="00EE48FD" w:rsidRDefault="008C2837" w:rsidP="008C2837">
      <w:pPr>
        <w:shd w:val="clear" w:color="auto" w:fill="FFFFFF"/>
        <w:spacing w:after="0" w:line="240" w:lineRule="auto"/>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(2) O pravima na privremeno oslobađanje obveze plaćanja komunalne naknade iz stavka 1. ovog članka</w:t>
      </w:r>
      <w:r w:rsidR="002C0007" w:rsidRPr="00EE48FD">
        <w:rPr>
          <w:rFonts w:ascii="Times New Roman" w:eastAsia="Times New Roman" w:hAnsi="Times New Roman" w:cs="Times New Roman"/>
          <w:sz w:val="24"/>
          <w:szCs w:val="24"/>
          <w:lang w:val="pl-PL" w:eastAsia="en-GB"/>
        </w:rPr>
        <w:t>, a po zahtjevu stranke,</w:t>
      </w:r>
      <w:r w:rsidRPr="00EE48FD">
        <w:rPr>
          <w:rFonts w:ascii="Times New Roman" w:eastAsia="Times New Roman" w:hAnsi="Times New Roman" w:cs="Times New Roman"/>
          <w:sz w:val="24"/>
          <w:szCs w:val="24"/>
          <w:lang w:val="pl-PL" w:eastAsia="en-GB"/>
        </w:rPr>
        <w:t xml:space="preserve"> donosi se rješenje.</w:t>
      </w:r>
    </w:p>
    <w:p w14:paraId="7D4973C2" w14:textId="77777777" w:rsidR="008C2837" w:rsidRPr="00EE48FD" w:rsidRDefault="008C2837" w:rsidP="008C2837">
      <w:pPr>
        <w:shd w:val="clear" w:color="auto" w:fill="FFFFFF"/>
        <w:spacing w:after="0" w:line="240" w:lineRule="auto"/>
        <w:rPr>
          <w:rFonts w:ascii="Times New Roman" w:eastAsia="Times New Roman" w:hAnsi="Times New Roman" w:cs="Times New Roman"/>
          <w:sz w:val="24"/>
          <w:szCs w:val="24"/>
          <w:lang w:val="pl-PL" w:eastAsia="en-GB"/>
        </w:rPr>
      </w:pPr>
    </w:p>
    <w:p w14:paraId="05EACD78" w14:textId="77777777" w:rsidR="008C2837" w:rsidRPr="00EE48FD" w:rsidRDefault="008C2837" w:rsidP="008C2837">
      <w:pPr>
        <w:shd w:val="clear" w:color="auto" w:fill="FFFFFF"/>
        <w:spacing w:after="0" w:line="240" w:lineRule="auto"/>
        <w:rPr>
          <w:rFonts w:ascii="Times New Roman" w:eastAsia="Times New Roman" w:hAnsi="Times New Roman" w:cs="Times New Roman"/>
          <w:b/>
          <w:bCs/>
          <w:sz w:val="24"/>
          <w:szCs w:val="24"/>
          <w:lang w:val="pl-PL" w:eastAsia="en-GB"/>
        </w:rPr>
      </w:pPr>
      <w:r w:rsidRPr="00EE48FD">
        <w:rPr>
          <w:rFonts w:ascii="Times New Roman" w:eastAsia="Times New Roman" w:hAnsi="Times New Roman" w:cs="Times New Roman"/>
          <w:b/>
          <w:bCs/>
          <w:sz w:val="24"/>
          <w:szCs w:val="24"/>
          <w:lang w:val="pl-PL" w:eastAsia="en-GB"/>
        </w:rPr>
        <w:t>PRIJELAZNE I ZAVRŠNE ODREDBE</w:t>
      </w:r>
    </w:p>
    <w:p w14:paraId="1BD92EF7" w14:textId="77777777" w:rsidR="008C2837" w:rsidRPr="00EE48FD" w:rsidRDefault="008C2837" w:rsidP="008C2837">
      <w:pPr>
        <w:shd w:val="clear" w:color="auto" w:fill="FFFFFF"/>
        <w:spacing w:after="0" w:line="240" w:lineRule="auto"/>
        <w:rPr>
          <w:rFonts w:ascii="Times New Roman" w:eastAsia="Times New Roman" w:hAnsi="Times New Roman" w:cs="Times New Roman"/>
          <w:sz w:val="24"/>
          <w:szCs w:val="24"/>
          <w:lang w:val="pl-PL" w:eastAsia="en-GB"/>
        </w:rPr>
      </w:pPr>
    </w:p>
    <w:p w14:paraId="75EB804F" w14:textId="77777777" w:rsidR="008C2837" w:rsidRPr="00EE48FD" w:rsidRDefault="008C2837" w:rsidP="008C2837">
      <w:pPr>
        <w:shd w:val="clear" w:color="auto" w:fill="FFFFFF"/>
        <w:spacing w:after="0" w:line="240" w:lineRule="auto"/>
        <w:jc w:val="center"/>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Članak 18.</w:t>
      </w:r>
    </w:p>
    <w:p w14:paraId="66A65AF2" w14:textId="77777777" w:rsidR="008C2837" w:rsidRPr="00EE48FD" w:rsidRDefault="008C2837" w:rsidP="008C2837">
      <w:pPr>
        <w:shd w:val="clear" w:color="auto" w:fill="FFFFFF"/>
        <w:spacing w:after="0" w:line="240" w:lineRule="auto"/>
        <w:jc w:val="center"/>
        <w:rPr>
          <w:rFonts w:ascii="Times New Roman" w:eastAsia="Times New Roman" w:hAnsi="Times New Roman" w:cs="Times New Roman"/>
          <w:sz w:val="24"/>
          <w:szCs w:val="24"/>
          <w:lang w:val="pl-PL" w:eastAsia="en-GB"/>
        </w:rPr>
      </w:pPr>
    </w:p>
    <w:p w14:paraId="16FBE6AF" w14:textId="77777777" w:rsidR="008C2837" w:rsidRPr="00EE48FD" w:rsidRDefault="008C2837" w:rsidP="008C2837">
      <w:pPr>
        <w:shd w:val="clear" w:color="auto" w:fill="FFFFFF"/>
        <w:spacing w:after="0" w:line="240" w:lineRule="auto"/>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Stupanjem na snagu ove Odluke o komunalnoj naknadi prestaje važiti Odluka o komunalnoj naknadi Grada Opatije (“Službene novine” Primorsko-goranske županije broj 43/18, 42/20 i 49/23).</w:t>
      </w:r>
    </w:p>
    <w:p w14:paraId="58CD8936" w14:textId="77777777" w:rsidR="008C2837" w:rsidRPr="00EE48FD" w:rsidRDefault="008C2837" w:rsidP="008C2837">
      <w:pPr>
        <w:shd w:val="clear" w:color="auto" w:fill="FFFFFF"/>
        <w:spacing w:after="0" w:line="240" w:lineRule="auto"/>
        <w:jc w:val="center"/>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Članak 19.</w:t>
      </w:r>
    </w:p>
    <w:p w14:paraId="6015BAF3" w14:textId="77777777" w:rsidR="008C2837" w:rsidRPr="00EE48FD" w:rsidRDefault="008C2837" w:rsidP="008C2837">
      <w:pPr>
        <w:shd w:val="clear" w:color="auto" w:fill="FFFFFF"/>
        <w:spacing w:after="0" w:line="240" w:lineRule="auto"/>
        <w:jc w:val="center"/>
        <w:rPr>
          <w:rFonts w:ascii="Times New Roman" w:eastAsia="Times New Roman" w:hAnsi="Times New Roman" w:cs="Times New Roman"/>
          <w:sz w:val="24"/>
          <w:szCs w:val="24"/>
          <w:lang w:val="pl-PL" w:eastAsia="en-GB"/>
        </w:rPr>
      </w:pPr>
    </w:p>
    <w:p w14:paraId="3CB1F06B" w14:textId="77777777" w:rsidR="008C2837" w:rsidRPr="00EE48FD" w:rsidRDefault="008C2837" w:rsidP="008C2837">
      <w:pPr>
        <w:shd w:val="clear" w:color="auto" w:fill="FFFFFF"/>
        <w:spacing w:after="0" w:line="240" w:lineRule="auto"/>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Ova Odluka objaviti će se u “Službenim novinama Grada Opatije”, a stupa na snagu 1. siječnja 2026. godine.</w:t>
      </w:r>
    </w:p>
    <w:p w14:paraId="5177000D" w14:textId="77777777" w:rsidR="008C2837" w:rsidRPr="00EE48FD" w:rsidRDefault="008C2837" w:rsidP="008C2837">
      <w:pPr>
        <w:shd w:val="clear" w:color="auto" w:fill="FFFFFF"/>
        <w:spacing w:after="0" w:line="240" w:lineRule="auto"/>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 xml:space="preserve">KLASA: </w:t>
      </w:r>
    </w:p>
    <w:p w14:paraId="5D49D15B" w14:textId="77777777" w:rsidR="008C2837" w:rsidRPr="00EE48FD" w:rsidRDefault="008C2837" w:rsidP="008C2837">
      <w:pPr>
        <w:shd w:val="clear" w:color="auto" w:fill="FFFFFF"/>
        <w:spacing w:after="0" w:line="240" w:lineRule="auto"/>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t xml:space="preserve">URBROJ: </w:t>
      </w:r>
    </w:p>
    <w:p w14:paraId="4B4159E3" w14:textId="77777777" w:rsidR="0029073B" w:rsidRPr="00EE48FD" w:rsidRDefault="008C2837" w:rsidP="00CD7853">
      <w:pPr>
        <w:shd w:val="clear" w:color="auto" w:fill="FFFFFF"/>
        <w:spacing w:after="0" w:line="240" w:lineRule="auto"/>
        <w:rPr>
          <w:rFonts w:ascii="Times New Roman" w:eastAsia="Times New Roman" w:hAnsi="Times New Roman" w:cs="Times New Roman"/>
          <w:sz w:val="24"/>
          <w:szCs w:val="24"/>
          <w:lang w:val="pl-PL" w:eastAsia="en-GB"/>
        </w:rPr>
        <w:sectPr w:rsidR="0029073B" w:rsidRPr="00EE48FD" w:rsidSect="00E13108">
          <w:pgSz w:w="11906" w:h="16838"/>
          <w:pgMar w:top="1418" w:right="1418" w:bottom="1418" w:left="1418" w:header="709" w:footer="709" w:gutter="0"/>
          <w:cols w:space="708"/>
          <w:docGrid w:linePitch="360"/>
        </w:sectPr>
      </w:pPr>
      <w:r w:rsidRPr="00EE48FD">
        <w:rPr>
          <w:rFonts w:ascii="Times New Roman" w:eastAsia="Times New Roman" w:hAnsi="Times New Roman" w:cs="Times New Roman"/>
          <w:sz w:val="24"/>
          <w:szCs w:val="24"/>
          <w:lang w:val="pl-PL" w:eastAsia="en-GB"/>
        </w:rPr>
        <w:t>Opatija, _____________ godine</w:t>
      </w:r>
    </w:p>
    <w:p w14:paraId="15CA3E0F" w14:textId="7CB212CF" w:rsidR="00912239" w:rsidRPr="00EE48FD" w:rsidRDefault="004F61BF" w:rsidP="004F61BF">
      <w:pPr>
        <w:shd w:val="clear" w:color="auto" w:fill="FFFFFF"/>
        <w:spacing w:after="0" w:line="240" w:lineRule="auto"/>
        <w:jc w:val="both"/>
        <w:rPr>
          <w:rFonts w:ascii="Times New Roman" w:eastAsia="Times New Roman" w:hAnsi="Times New Roman" w:cs="Times New Roman"/>
          <w:sz w:val="24"/>
          <w:szCs w:val="24"/>
          <w:lang w:val="pl-PL" w:eastAsia="en-GB"/>
        </w:rPr>
      </w:pPr>
      <w:r w:rsidRPr="00EE48FD">
        <w:rPr>
          <w:rFonts w:ascii="Times New Roman" w:eastAsia="Times New Roman" w:hAnsi="Times New Roman" w:cs="Times New Roman"/>
          <w:sz w:val="24"/>
          <w:szCs w:val="24"/>
          <w:lang w:val="pl-PL" w:eastAsia="en-GB"/>
        </w:rPr>
        <w:lastRenderedPageBreak/>
        <w:t>PREGLED RAZLIKA POSTOJEĆE ZONE I PODRUČJA ZONA i KOEFICIJENATA ZONA/ PRIJEDLOG ZONA, PODRUČJA ZONA i KOEFICIJANATA ZONA</w:t>
      </w:r>
    </w:p>
    <w:p w14:paraId="4D4EB27B" w14:textId="77777777" w:rsidR="004F61BF" w:rsidRPr="00EE48FD" w:rsidRDefault="004F61BF" w:rsidP="004F61BF">
      <w:pPr>
        <w:shd w:val="clear" w:color="auto" w:fill="FFFFFF"/>
        <w:spacing w:after="0" w:line="240" w:lineRule="auto"/>
        <w:jc w:val="both"/>
        <w:rPr>
          <w:rFonts w:ascii="Times New Roman" w:eastAsia="Times New Roman" w:hAnsi="Times New Roman" w:cs="Times New Roman"/>
          <w:sz w:val="24"/>
          <w:szCs w:val="24"/>
          <w:lang w:val="pl-PL" w:eastAsia="en-GB"/>
        </w:rPr>
      </w:pPr>
    </w:p>
    <w:tbl>
      <w:tblPr>
        <w:tblStyle w:val="Reetkatablice"/>
        <w:tblW w:w="15304" w:type="dxa"/>
        <w:jc w:val="center"/>
        <w:tblLook w:val="04A0" w:firstRow="1" w:lastRow="0" w:firstColumn="1" w:lastColumn="0" w:noHBand="0" w:noVBand="1"/>
      </w:tblPr>
      <w:tblGrid>
        <w:gridCol w:w="772"/>
        <w:gridCol w:w="6169"/>
        <w:gridCol w:w="1030"/>
        <w:gridCol w:w="1030"/>
        <w:gridCol w:w="5169"/>
        <w:gridCol w:w="1134"/>
      </w:tblGrid>
      <w:tr w:rsidR="00AE6314" w:rsidRPr="00EE48FD" w14:paraId="2FDE4019" w14:textId="77777777" w:rsidTr="0029073B">
        <w:trPr>
          <w:trHeight w:val="374"/>
          <w:jc w:val="center"/>
        </w:trPr>
        <w:tc>
          <w:tcPr>
            <w:tcW w:w="772" w:type="dxa"/>
            <w:vAlign w:val="center"/>
          </w:tcPr>
          <w:p w14:paraId="590AA0A0" w14:textId="77777777" w:rsidR="0029073B" w:rsidRPr="00EE48FD" w:rsidRDefault="0029073B" w:rsidP="007F3EE9">
            <w:pPr>
              <w:pStyle w:val="box458203"/>
              <w:spacing w:before="0" w:beforeAutospacing="0" w:after="0" w:afterAutospacing="0"/>
              <w:jc w:val="center"/>
              <w:textAlignment w:val="baseline"/>
              <w:rPr>
                <w:bCs/>
                <w:sz w:val="20"/>
                <w:szCs w:val="20"/>
              </w:rPr>
            </w:pPr>
            <w:r w:rsidRPr="00EE48FD">
              <w:rPr>
                <w:bCs/>
              </w:rPr>
              <w:br w:type="page"/>
            </w:r>
            <w:r w:rsidRPr="00EE48FD">
              <w:rPr>
                <w:bCs/>
                <w:sz w:val="20"/>
                <w:szCs w:val="20"/>
              </w:rPr>
              <w:t>ZONA</w:t>
            </w:r>
          </w:p>
        </w:tc>
        <w:tc>
          <w:tcPr>
            <w:tcW w:w="6169" w:type="dxa"/>
            <w:noWrap/>
            <w:vAlign w:val="center"/>
            <w:hideMark/>
          </w:tcPr>
          <w:p w14:paraId="07C0F29E" w14:textId="77777777" w:rsidR="0029073B" w:rsidRPr="00EE48FD" w:rsidRDefault="0029073B" w:rsidP="007F3EE9">
            <w:pPr>
              <w:pStyle w:val="box458203"/>
              <w:spacing w:before="0" w:beforeAutospacing="0" w:after="0" w:afterAutospacing="0"/>
              <w:jc w:val="center"/>
              <w:textAlignment w:val="baseline"/>
              <w:rPr>
                <w:bCs/>
                <w:sz w:val="20"/>
                <w:szCs w:val="20"/>
              </w:rPr>
            </w:pPr>
            <w:r w:rsidRPr="00EE48FD">
              <w:rPr>
                <w:bCs/>
                <w:sz w:val="20"/>
                <w:szCs w:val="20"/>
              </w:rPr>
              <w:t>PODRUČJE ZONE</w:t>
            </w:r>
          </w:p>
        </w:tc>
        <w:tc>
          <w:tcPr>
            <w:tcW w:w="1030" w:type="dxa"/>
            <w:noWrap/>
            <w:vAlign w:val="center"/>
            <w:hideMark/>
          </w:tcPr>
          <w:p w14:paraId="10285EBC" w14:textId="77777777" w:rsidR="0029073B" w:rsidRPr="00EE48FD" w:rsidRDefault="0029073B" w:rsidP="007F3EE9">
            <w:pPr>
              <w:pStyle w:val="box458203"/>
              <w:spacing w:before="0" w:beforeAutospacing="0" w:after="0" w:afterAutospacing="0"/>
              <w:jc w:val="center"/>
              <w:textAlignment w:val="baseline"/>
              <w:rPr>
                <w:bCs/>
                <w:sz w:val="20"/>
                <w:szCs w:val="20"/>
              </w:rPr>
            </w:pPr>
            <w:r w:rsidRPr="00EE48FD">
              <w:rPr>
                <w:b/>
                <w:sz w:val="16"/>
                <w:szCs w:val="16"/>
              </w:rPr>
              <w:t>KOEFICIJ. ZONE</w:t>
            </w:r>
          </w:p>
        </w:tc>
        <w:tc>
          <w:tcPr>
            <w:tcW w:w="1030" w:type="dxa"/>
            <w:vAlign w:val="center"/>
          </w:tcPr>
          <w:p w14:paraId="77C702C6" w14:textId="77777777" w:rsidR="0029073B" w:rsidRPr="00EE48FD" w:rsidRDefault="0029073B" w:rsidP="007F3EE9">
            <w:pPr>
              <w:pStyle w:val="box458203"/>
              <w:spacing w:before="0" w:beforeAutospacing="0" w:after="0" w:afterAutospacing="0"/>
              <w:jc w:val="center"/>
              <w:textAlignment w:val="baseline"/>
              <w:rPr>
                <w:b/>
                <w:sz w:val="16"/>
                <w:szCs w:val="16"/>
              </w:rPr>
            </w:pPr>
            <w:r w:rsidRPr="00EE48FD">
              <w:rPr>
                <w:bCs/>
              </w:rPr>
              <w:br w:type="page"/>
            </w:r>
            <w:r w:rsidRPr="00EE48FD">
              <w:rPr>
                <w:bCs/>
                <w:sz w:val="20"/>
                <w:szCs w:val="20"/>
              </w:rPr>
              <w:t>ZONA</w:t>
            </w:r>
          </w:p>
        </w:tc>
        <w:tc>
          <w:tcPr>
            <w:tcW w:w="5169" w:type="dxa"/>
            <w:vAlign w:val="center"/>
          </w:tcPr>
          <w:p w14:paraId="28C253C7" w14:textId="77777777" w:rsidR="0029073B" w:rsidRPr="00EE48FD" w:rsidRDefault="0029073B" w:rsidP="007F3EE9">
            <w:pPr>
              <w:pStyle w:val="box458203"/>
              <w:spacing w:before="0" w:beforeAutospacing="0" w:after="0" w:afterAutospacing="0"/>
              <w:jc w:val="center"/>
              <w:textAlignment w:val="baseline"/>
              <w:rPr>
                <w:b/>
                <w:sz w:val="16"/>
                <w:szCs w:val="16"/>
              </w:rPr>
            </w:pPr>
            <w:r w:rsidRPr="00EE48FD">
              <w:rPr>
                <w:bCs/>
                <w:sz w:val="20"/>
                <w:szCs w:val="20"/>
              </w:rPr>
              <w:t>PODRUČJE ZONE</w:t>
            </w:r>
          </w:p>
        </w:tc>
        <w:tc>
          <w:tcPr>
            <w:tcW w:w="1134" w:type="dxa"/>
            <w:vAlign w:val="center"/>
          </w:tcPr>
          <w:p w14:paraId="4214B7DC" w14:textId="77777777" w:rsidR="0029073B" w:rsidRPr="00EE48FD" w:rsidRDefault="0029073B" w:rsidP="007F3EE9">
            <w:pPr>
              <w:pStyle w:val="box458203"/>
              <w:spacing w:before="0" w:beforeAutospacing="0" w:after="0" w:afterAutospacing="0"/>
              <w:jc w:val="center"/>
              <w:textAlignment w:val="baseline"/>
              <w:rPr>
                <w:b/>
                <w:sz w:val="16"/>
                <w:szCs w:val="16"/>
              </w:rPr>
            </w:pPr>
            <w:r w:rsidRPr="00EE48FD">
              <w:rPr>
                <w:b/>
                <w:sz w:val="16"/>
                <w:szCs w:val="16"/>
              </w:rPr>
              <w:t>KOEFICIJ. ZONE</w:t>
            </w:r>
          </w:p>
        </w:tc>
      </w:tr>
      <w:tr w:rsidR="00AE6314" w:rsidRPr="00EE48FD" w14:paraId="4E32A523" w14:textId="77777777" w:rsidTr="0029073B">
        <w:trPr>
          <w:trHeight w:val="425"/>
          <w:jc w:val="center"/>
        </w:trPr>
        <w:tc>
          <w:tcPr>
            <w:tcW w:w="772" w:type="dxa"/>
            <w:vAlign w:val="center"/>
          </w:tcPr>
          <w:p w14:paraId="7C4DDC5D" w14:textId="77777777" w:rsidR="0029073B" w:rsidRPr="00EE48FD" w:rsidRDefault="0029073B" w:rsidP="007F3EE9">
            <w:pPr>
              <w:pStyle w:val="box458203"/>
              <w:spacing w:before="0" w:beforeAutospacing="0" w:after="0" w:afterAutospacing="0"/>
              <w:jc w:val="center"/>
              <w:textAlignment w:val="baseline"/>
              <w:rPr>
                <w:bCs/>
                <w:sz w:val="20"/>
                <w:szCs w:val="20"/>
              </w:rPr>
            </w:pPr>
            <w:r w:rsidRPr="00EE48FD">
              <w:rPr>
                <w:bCs/>
                <w:sz w:val="20"/>
                <w:szCs w:val="20"/>
              </w:rPr>
              <w:t>ZONA I.</w:t>
            </w:r>
          </w:p>
        </w:tc>
        <w:tc>
          <w:tcPr>
            <w:tcW w:w="6169" w:type="dxa"/>
            <w:vAlign w:val="center"/>
            <w:hideMark/>
          </w:tcPr>
          <w:p w14:paraId="520BE175" w14:textId="77777777" w:rsidR="0029073B" w:rsidRPr="00EE48FD" w:rsidRDefault="0029073B" w:rsidP="007F3EE9">
            <w:pPr>
              <w:pStyle w:val="box458203"/>
              <w:spacing w:before="0" w:beforeAutospacing="0" w:after="0" w:afterAutospacing="0"/>
              <w:jc w:val="both"/>
              <w:textAlignment w:val="baseline"/>
              <w:rPr>
                <w:bCs/>
                <w:sz w:val="20"/>
                <w:szCs w:val="20"/>
              </w:rPr>
            </w:pPr>
            <w:r w:rsidRPr="00EE48FD">
              <w:rPr>
                <w:bCs/>
                <w:sz w:val="20"/>
                <w:szCs w:val="20"/>
              </w:rPr>
              <w:t xml:space="preserve">granica ove zone polazi od mora linijom koja se nastavlja na prolaz između vile „AMBASADOR“ i hotela „AMBASADOR“, ulicom Feliksa </w:t>
            </w:r>
            <w:proofErr w:type="spellStart"/>
            <w:r w:rsidRPr="00EE48FD">
              <w:rPr>
                <w:bCs/>
                <w:sz w:val="20"/>
                <w:szCs w:val="20"/>
              </w:rPr>
              <w:t>Peršića</w:t>
            </w:r>
            <w:proofErr w:type="spellEnd"/>
            <w:r w:rsidRPr="00EE48FD">
              <w:rPr>
                <w:bCs/>
                <w:sz w:val="20"/>
                <w:szCs w:val="20"/>
              </w:rPr>
              <w:t xml:space="preserve"> do ulice M. Tita, nastavlja ulicom M. Tita i to od Stubišta Škrbići do izlaza iz hotela „ADRIATIC“, stepeništem uz vilu „ISTRANKU“ granica se spušta do mora. U ovu zonu uključuje se Trg Vladimira Gortana i ulica Vjekoslava Spinčića do uključivo zgradu HP-a,</w:t>
            </w:r>
          </w:p>
        </w:tc>
        <w:tc>
          <w:tcPr>
            <w:tcW w:w="1030" w:type="dxa"/>
            <w:noWrap/>
            <w:vAlign w:val="center"/>
            <w:hideMark/>
          </w:tcPr>
          <w:p w14:paraId="2CD52125" w14:textId="77777777" w:rsidR="0029073B" w:rsidRPr="00EE48FD" w:rsidRDefault="0029073B" w:rsidP="007F3EE9">
            <w:pPr>
              <w:pStyle w:val="box458203"/>
              <w:spacing w:before="0" w:beforeAutospacing="0" w:after="0" w:afterAutospacing="0"/>
              <w:jc w:val="center"/>
              <w:textAlignment w:val="baseline"/>
              <w:rPr>
                <w:b/>
                <w:sz w:val="20"/>
                <w:szCs w:val="20"/>
              </w:rPr>
            </w:pPr>
            <w:r w:rsidRPr="00EE48FD">
              <w:rPr>
                <w:b/>
                <w:sz w:val="20"/>
                <w:szCs w:val="20"/>
              </w:rPr>
              <w:t>1</w:t>
            </w:r>
          </w:p>
        </w:tc>
        <w:tc>
          <w:tcPr>
            <w:tcW w:w="1030" w:type="dxa"/>
            <w:vAlign w:val="center"/>
          </w:tcPr>
          <w:p w14:paraId="0765418A" w14:textId="77777777" w:rsidR="0029073B" w:rsidRPr="00EE48FD" w:rsidRDefault="0029073B" w:rsidP="007F3EE9">
            <w:pPr>
              <w:pStyle w:val="box458203"/>
              <w:spacing w:before="0" w:beforeAutospacing="0" w:after="0" w:afterAutospacing="0"/>
              <w:jc w:val="center"/>
              <w:textAlignment w:val="baseline"/>
              <w:rPr>
                <w:b/>
                <w:sz w:val="20"/>
                <w:szCs w:val="20"/>
              </w:rPr>
            </w:pPr>
            <w:r w:rsidRPr="00EE48FD">
              <w:rPr>
                <w:bCs/>
                <w:sz w:val="20"/>
                <w:szCs w:val="20"/>
              </w:rPr>
              <w:t>ZONA I.</w:t>
            </w:r>
          </w:p>
        </w:tc>
        <w:tc>
          <w:tcPr>
            <w:tcW w:w="5169" w:type="dxa"/>
            <w:vAlign w:val="center"/>
          </w:tcPr>
          <w:p w14:paraId="5445E1B2" w14:textId="77777777" w:rsidR="00AE6314" w:rsidRPr="00EE48FD" w:rsidRDefault="00AE6314" w:rsidP="00AE6314">
            <w:pPr>
              <w:pStyle w:val="box458203"/>
              <w:spacing w:before="0" w:beforeAutospacing="0" w:after="0" w:afterAutospacing="0"/>
              <w:jc w:val="both"/>
              <w:textAlignment w:val="baseline"/>
              <w:rPr>
                <w:b/>
                <w:sz w:val="20"/>
                <w:szCs w:val="20"/>
              </w:rPr>
            </w:pPr>
            <w:r w:rsidRPr="00EE48FD">
              <w:rPr>
                <w:b/>
                <w:sz w:val="20"/>
                <w:szCs w:val="20"/>
              </w:rPr>
              <w:t>Obuhvaća dio područja naselja Opatija od obalne linije do granice područja koja sjeverozapadnim dijelom ide:</w:t>
            </w:r>
          </w:p>
          <w:p w14:paraId="17F04454" w14:textId="77777777" w:rsidR="00AE6314" w:rsidRPr="00EE48FD" w:rsidRDefault="00AE6314" w:rsidP="00AE6314">
            <w:pPr>
              <w:pStyle w:val="box458203"/>
              <w:spacing w:before="0" w:beforeAutospacing="0" w:after="0" w:afterAutospacing="0"/>
              <w:jc w:val="both"/>
              <w:textAlignment w:val="baseline"/>
              <w:rPr>
                <w:b/>
                <w:sz w:val="20"/>
                <w:szCs w:val="20"/>
              </w:rPr>
            </w:pPr>
            <w:r w:rsidRPr="00EE48FD">
              <w:rPr>
                <w:b/>
                <w:sz w:val="20"/>
                <w:szCs w:val="20"/>
              </w:rPr>
              <w:t>-</w:t>
            </w:r>
            <w:r w:rsidRPr="00EE48FD">
              <w:rPr>
                <w:b/>
                <w:sz w:val="20"/>
                <w:szCs w:val="20"/>
              </w:rPr>
              <w:tab/>
              <w:t xml:space="preserve">od granice na </w:t>
            </w:r>
            <w:proofErr w:type="spellStart"/>
            <w:r w:rsidRPr="00EE48FD">
              <w:rPr>
                <w:b/>
                <w:sz w:val="20"/>
                <w:szCs w:val="20"/>
              </w:rPr>
              <w:t>Preluku</w:t>
            </w:r>
            <w:proofErr w:type="spellEnd"/>
            <w:r w:rsidRPr="00EE48FD">
              <w:rPr>
                <w:b/>
                <w:sz w:val="20"/>
                <w:szCs w:val="20"/>
              </w:rPr>
              <w:t xml:space="preserve"> s Gradom Rijeka i to Ulicom Ivana Matetića Ronjgova obuhvaćajući sve objekte koji imaju adresu iste Ulice do raskrižja s Ulicom Pavlovac te sve objekte ispod (istočno i južno) Ulice Ivana Matetića Ronjgova od raskrižja s Ulicom Pavlovac do početka Ulice Rikarda Katalinića </w:t>
            </w:r>
            <w:proofErr w:type="spellStart"/>
            <w:r w:rsidRPr="00EE48FD">
              <w:rPr>
                <w:b/>
                <w:sz w:val="20"/>
                <w:szCs w:val="20"/>
              </w:rPr>
              <w:t>Jeretova</w:t>
            </w:r>
            <w:proofErr w:type="spellEnd"/>
            <w:r w:rsidRPr="00EE48FD">
              <w:rPr>
                <w:b/>
                <w:sz w:val="20"/>
                <w:szCs w:val="20"/>
              </w:rPr>
              <w:t>,</w:t>
            </w:r>
          </w:p>
          <w:p w14:paraId="777A1C1C" w14:textId="77777777" w:rsidR="00AE6314" w:rsidRPr="00EE48FD" w:rsidRDefault="00AE6314" w:rsidP="00AE6314">
            <w:pPr>
              <w:pStyle w:val="box458203"/>
              <w:spacing w:before="0" w:beforeAutospacing="0" w:after="0" w:afterAutospacing="0"/>
              <w:jc w:val="both"/>
              <w:textAlignment w:val="baseline"/>
              <w:rPr>
                <w:b/>
                <w:sz w:val="20"/>
                <w:szCs w:val="20"/>
              </w:rPr>
            </w:pPr>
            <w:r w:rsidRPr="00EE48FD">
              <w:rPr>
                <w:b/>
                <w:sz w:val="20"/>
                <w:szCs w:val="20"/>
              </w:rPr>
              <w:t>-</w:t>
            </w:r>
            <w:r w:rsidRPr="00EE48FD">
              <w:rPr>
                <w:b/>
                <w:sz w:val="20"/>
                <w:szCs w:val="20"/>
              </w:rPr>
              <w:tab/>
              <w:t xml:space="preserve">nastavlja se Ulicom Rikarda Katalinića </w:t>
            </w:r>
            <w:proofErr w:type="spellStart"/>
            <w:r w:rsidRPr="00EE48FD">
              <w:rPr>
                <w:b/>
                <w:sz w:val="20"/>
                <w:szCs w:val="20"/>
              </w:rPr>
              <w:t>Jeretova</w:t>
            </w:r>
            <w:proofErr w:type="spellEnd"/>
            <w:r w:rsidRPr="00EE48FD">
              <w:rPr>
                <w:b/>
                <w:sz w:val="20"/>
                <w:szCs w:val="20"/>
              </w:rPr>
              <w:t xml:space="preserve">, a obuhvaća sve objekte ispod (istočno) iste Ulice, </w:t>
            </w:r>
          </w:p>
          <w:p w14:paraId="229556F5" w14:textId="77777777" w:rsidR="00AE6314" w:rsidRPr="00EE48FD" w:rsidRDefault="00AE6314" w:rsidP="00AE6314">
            <w:pPr>
              <w:pStyle w:val="box458203"/>
              <w:spacing w:before="0" w:beforeAutospacing="0" w:after="0" w:afterAutospacing="0"/>
              <w:jc w:val="both"/>
              <w:textAlignment w:val="baseline"/>
              <w:rPr>
                <w:b/>
                <w:sz w:val="20"/>
                <w:szCs w:val="20"/>
              </w:rPr>
            </w:pPr>
            <w:r w:rsidRPr="00EE48FD">
              <w:rPr>
                <w:b/>
                <w:sz w:val="20"/>
                <w:szCs w:val="20"/>
              </w:rPr>
              <w:t>-</w:t>
            </w:r>
            <w:r w:rsidRPr="00EE48FD">
              <w:rPr>
                <w:b/>
                <w:sz w:val="20"/>
                <w:szCs w:val="20"/>
              </w:rPr>
              <w:tab/>
              <w:t xml:space="preserve">nastavlja se Ulicom Maršala Tita do raskrižja s Ulicom Dr. Matka </w:t>
            </w:r>
            <w:proofErr w:type="spellStart"/>
            <w:r w:rsidRPr="00EE48FD">
              <w:rPr>
                <w:b/>
                <w:sz w:val="20"/>
                <w:szCs w:val="20"/>
              </w:rPr>
              <w:t>Laginje</w:t>
            </w:r>
            <w:proofErr w:type="spellEnd"/>
            <w:r w:rsidRPr="00EE48FD">
              <w:rPr>
                <w:b/>
                <w:sz w:val="20"/>
                <w:szCs w:val="20"/>
              </w:rPr>
              <w:t xml:space="preserve">, a obuhvaća sve objekte s adresom u istoj Ulici uključivo i objekte na adresama Dr. Matka </w:t>
            </w:r>
            <w:proofErr w:type="spellStart"/>
            <w:r w:rsidRPr="00EE48FD">
              <w:rPr>
                <w:b/>
                <w:sz w:val="20"/>
                <w:szCs w:val="20"/>
              </w:rPr>
              <w:t>Laginje</w:t>
            </w:r>
            <w:proofErr w:type="spellEnd"/>
            <w:r w:rsidRPr="00EE48FD">
              <w:rPr>
                <w:b/>
                <w:sz w:val="20"/>
                <w:szCs w:val="20"/>
              </w:rPr>
              <w:t xml:space="preserve"> 2 i 4 te objekt na adresi Stubište Starina 5, </w:t>
            </w:r>
          </w:p>
          <w:p w14:paraId="5635C759" w14:textId="77777777" w:rsidR="00AE6314" w:rsidRPr="00EE48FD" w:rsidRDefault="00AE6314" w:rsidP="00AE6314">
            <w:pPr>
              <w:pStyle w:val="box458203"/>
              <w:spacing w:before="0" w:beforeAutospacing="0" w:after="0" w:afterAutospacing="0"/>
              <w:jc w:val="both"/>
              <w:textAlignment w:val="baseline"/>
              <w:rPr>
                <w:b/>
                <w:sz w:val="20"/>
                <w:szCs w:val="20"/>
              </w:rPr>
            </w:pPr>
            <w:r w:rsidRPr="00EE48FD">
              <w:rPr>
                <w:b/>
                <w:sz w:val="20"/>
                <w:szCs w:val="20"/>
              </w:rPr>
              <w:t>-</w:t>
            </w:r>
            <w:r w:rsidRPr="00EE48FD">
              <w:rPr>
                <w:b/>
                <w:sz w:val="20"/>
                <w:szCs w:val="20"/>
              </w:rPr>
              <w:tab/>
              <w:t xml:space="preserve">zatim se nastavlja sjeverno Ulicom Dr. Matka </w:t>
            </w:r>
            <w:proofErr w:type="spellStart"/>
            <w:r w:rsidRPr="00EE48FD">
              <w:rPr>
                <w:b/>
                <w:sz w:val="20"/>
                <w:szCs w:val="20"/>
              </w:rPr>
              <w:t>Laginje</w:t>
            </w:r>
            <w:proofErr w:type="spellEnd"/>
            <w:r w:rsidRPr="00EE48FD">
              <w:rPr>
                <w:b/>
                <w:sz w:val="20"/>
                <w:szCs w:val="20"/>
              </w:rPr>
              <w:t xml:space="preserve"> do raskrižja s Ulicom Nova Cesta, a obuhvaća sve objekte zapadno od Ulice Dr. Matka </w:t>
            </w:r>
            <w:proofErr w:type="spellStart"/>
            <w:r w:rsidRPr="00EE48FD">
              <w:rPr>
                <w:b/>
                <w:sz w:val="20"/>
                <w:szCs w:val="20"/>
              </w:rPr>
              <w:t>Laginje</w:t>
            </w:r>
            <w:proofErr w:type="spellEnd"/>
            <w:r w:rsidRPr="00EE48FD">
              <w:rPr>
                <w:b/>
                <w:sz w:val="20"/>
                <w:szCs w:val="20"/>
              </w:rPr>
              <w:t xml:space="preserve">, </w:t>
            </w:r>
          </w:p>
          <w:p w14:paraId="682D9312" w14:textId="77777777" w:rsidR="00AE6314" w:rsidRPr="00EE48FD" w:rsidRDefault="00AE6314" w:rsidP="00AE6314">
            <w:pPr>
              <w:pStyle w:val="box458203"/>
              <w:spacing w:before="0" w:beforeAutospacing="0" w:after="0" w:afterAutospacing="0"/>
              <w:jc w:val="both"/>
              <w:textAlignment w:val="baseline"/>
              <w:rPr>
                <w:b/>
                <w:sz w:val="20"/>
                <w:szCs w:val="20"/>
              </w:rPr>
            </w:pPr>
            <w:r w:rsidRPr="00EE48FD">
              <w:rPr>
                <w:b/>
                <w:sz w:val="20"/>
                <w:szCs w:val="20"/>
              </w:rPr>
              <w:t>-</w:t>
            </w:r>
            <w:r w:rsidRPr="00EE48FD">
              <w:rPr>
                <w:b/>
                <w:sz w:val="20"/>
                <w:szCs w:val="20"/>
              </w:rPr>
              <w:tab/>
              <w:t xml:space="preserve">nastavlja se Ulicom Nova cesta od raskrižja s Ulicom Dr. Matka </w:t>
            </w:r>
            <w:proofErr w:type="spellStart"/>
            <w:r w:rsidRPr="00EE48FD">
              <w:rPr>
                <w:b/>
                <w:sz w:val="20"/>
                <w:szCs w:val="20"/>
              </w:rPr>
              <w:t>Laginje</w:t>
            </w:r>
            <w:proofErr w:type="spellEnd"/>
            <w:r w:rsidRPr="00EE48FD">
              <w:rPr>
                <w:b/>
                <w:sz w:val="20"/>
                <w:szCs w:val="20"/>
              </w:rPr>
              <w:t xml:space="preserve"> do raskrižja s Veli Jože, obuhvaćajući sve objekte ispod Ulice Nova cesta,</w:t>
            </w:r>
          </w:p>
          <w:p w14:paraId="37700F67" w14:textId="77777777" w:rsidR="00AE6314" w:rsidRPr="00EE48FD" w:rsidRDefault="00AE6314" w:rsidP="00AE6314">
            <w:pPr>
              <w:pStyle w:val="box458203"/>
              <w:spacing w:before="0" w:beforeAutospacing="0" w:after="0" w:afterAutospacing="0"/>
              <w:jc w:val="both"/>
              <w:textAlignment w:val="baseline"/>
              <w:rPr>
                <w:b/>
                <w:sz w:val="20"/>
                <w:szCs w:val="20"/>
              </w:rPr>
            </w:pPr>
            <w:r w:rsidRPr="00EE48FD">
              <w:rPr>
                <w:b/>
                <w:sz w:val="20"/>
                <w:szCs w:val="20"/>
              </w:rPr>
              <w:t>-</w:t>
            </w:r>
            <w:r w:rsidRPr="00EE48FD">
              <w:rPr>
                <w:b/>
                <w:sz w:val="20"/>
                <w:szCs w:val="20"/>
              </w:rPr>
              <w:tab/>
              <w:t>zatim se spušta južno Ulicom Veli Jože do raskrižja s Ulicom Joakima Rakovca, a obuhvaća sve objekte istočno od Ulice Vele Jože,</w:t>
            </w:r>
          </w:p>
          <w:p w14:paraId="610BB18A" w14:textId="77777777" w:rsidR="00AE6314" w:rsidRPr="00EE48FD" w:rsidRDefault="00AE6314" w:rsidP="00AE6314">
            <w:pPr>
              <w:pStyle w:val="box458203"/>
              <w:spacing w:before="0" w:beforeAutospacing="0" w:after="0" w:afterAutospacing="0"/>
              <w:jc w:val="both"/>
              <w:textAlignment w:val="baseline"/>
              <w:rPr>
                <w:b/>
                <w:sz w:val="20"/>
                <w:szCs w:val="20"/>
              </w:rPr>
            </w:pPr>
            <w:r w:rsidRPr="00EE48FD">
              <w:rPr>
                <w:b/>
                <w:sz w:val="20"/>
                <w:szCs w:val="20"/>
              </w:rPr>
              <w:t>-</w:t>
            </w:r>
            <w:r w:rsidRPr="00EE48FD">
              <w:rPr>
                <w:b/>
                <w:sz w:val="20"/>
                <w:szCs w:val="20"/>
              </w:rPr>
              <w:tab/>
              <w:t>zatim se nastavlja Ulicom Joakima Rakovca do raskrižja s Ulicom Nova cesta, a obuhvaća sve objekte ispod (istočno) Ulice Joakima Rakovca,</w:t>
            </w:r>
          </w:p>
          <w:p w14:paraId="18A6F425" w14:textId="77777777" w:rsidR="00AE6314" w:rsidRPr="00EE48FD" w:rsidRDefault="00AE6314" w:rsidP="00AE6314">
            <w:pPr>
              <w:pStyle w:val="box458203"/>
              <w:spacing w:before="0" w:beforeAutospacing="0" w:after="0" w:afterAutospacing="0"/>
              <w:jc w:val="both"/>
              <w:textAlignment w:val="baseline"/>
              <w:rPr>
                <w:b/>
                <w:sz w:val="20"/>
                <w:szCs w:val="20"/>
              </w:rPr>
            </w:pPr>
            <w:r w:rsidRPr="00EE48FD">
              <w:rPr>
                <w:b/>
                <w:sz w:val="20"/>
                <w:szCs w:val="20"/>
              </w:rPr>
              <w:t>-</w:t>
            </w:r>
            <w:r w:rsidRPr="00EE48FD">
              <w:rPr>
                <w:b/>
                <w:sz w:val="20"/>
                <w:szCs w:val="20"/>
              </w:rPr>
              <w:tab/>
              <w:t xml:space="preserve">zatim se nastavlja Ulicom Nova cesta do raskrižja s Ulicom Maršala </w:t>
            </w:r>
            <w:proofErr w:type="spellStart"/>
            <w:r w:rsidRPr="00EE48FD">
              <w:rPr>
                <w:b/>
                <w:sz w:val="20"/>
                <w:szCs w:val="20"/>
              </w:rPr>
              <w:t>Tita,a</w:t>
            </w:r>
            <w:proofErr w:type="spellEnd"/>
            <w:r w:rsidRPr="00EE48FD">
              <w:rPr>
                <w:b/>
                <w:sz w:val="20"/>
                <w:szCs w:val="20"/>
              </w:rPr>
              <w:t xml:space="preserve"> obuhvaća sve objekte ispod Ulice Nova cesta,</w:t>
            </w:r>
          </w:p>
          <w:p w14:paraId="4D1705D2" w14:textId="57F0F054" w:rsidR="0029073B" w:rsidRPr="00EE48FD" w:rsidRDefault="00AE6314" w:rsidP="00AE6314">
            <w:pPr>
              <w:pStyle w:val="box458203"/>
              <w:spacing w:before="0" w:beforeAutospacing="0" w:after="0" w:afterAutospacing="0"/>
              <w:jc w:val="both"/>
              <w:textAlignment w:val="baseline"/>
              <w:rPr>
                <w:b/>
                <w:sz w:val="20"/>
                <w:szCs w:val="20"/>
              </w:rPr>
            </w:pPr>
            <w:r w:rsidRPr="00EE48FD">
              <w:rPr>
                <w:b/>
                <w:sz w:val="20"/>
                <w:szCs w:val="20"/>
              </w:rPr>
              <w:t>-</w:t>
            </w:r>
            <w:r w:rsidRPr="00EE48FD">
              <w:rPr>
                <w:b/>
                <w:sz w:val="20"/>
                <w:szCs w:val="20"/>
              </w:rPr>
              <w:tab/>
              <w:t xml:space="preserve">zatim se nastavlja Ulicom Maršala Tita do </w:t>
            </w:r>
            <w:proofErr w:type="spellStart"/>
            <w:r w:rsidRPr="00EE48FD">
              <w:rPr>
                <w:b/>
                <w:sz w:val="20"/>
                <w:szCs w:val="20"/>
              </w:rPr>
              <w:t>Liburnijske</w:t>
            </w:r>
            <w:proofErr w:type="spellEnd"/>
            <w:r w:rsidRPr="00EE48FD">
              <w:rPr>
                <w:b/>
                <w:sz w:val="20"/>
                <w:szCs w:val="20"/>
              </w:rPr>
              <w:t xml:space="preserve"> ulice te obuhvaća sve objekte s adresom ulica Maršala Tita.</w:t>
            </w:r>
          </w:p>
        </w:tc>
        <w:tc>
          <w:tcPr>
            <w:tcW w:w="1134" w:type="dxa"/>
            <w:vAlign w:val="center"/>
          </w:tcPr>
          <w:p w14:paraId="07471D10" w14:textId="77777777" w:rsidR="0029073B" w:rsidRPr="00EE48FD" w:rsidRDefault="0029073B" w:rsidP="007F3EE9">
            <w:pPr>
              <w:pStyle w:val="box458203"/>
              <w:spacing w:before="0" w:beforeAutospacing="0" w:after="0" w:afterAutospacing="0"/>
              <w:jc w:val="center"/>
              <w:textAlignment w:val="baseline"/>
              <w:rPr>
                <w:b/>
                <w:sz w:val="20"/>
                <w:szCs w:val="20"/>
              </w:rPr>
            </w:pPr>
            <w:r w:rsidRPr="00EE48FD">
              <w:rPr>
                <w:b/>
                <w:sz w:val="20"/>
                <w:szCs w:val="20"/>
              </w:rPr>
              <w:t>1</w:t>
            </w:r>
          </w:p>
        </w:tc>
      </w:tr>
      <w:tr w:rsidR="00AE6314" w:rsidRPr="00EE48FD" w14:paraId="1711FCD3" w14:textId="77777777" w:rsidTr="0029073B">
        <w:trPr>
          <w:trHeight w:val="3104"/>
          <w:jc w:val="center"/>
        </w:trPr>
        <w:tc>
          <w:tcPr>
            <w:tcW w:w="772" w:type="dxa"/>
            <w:vAlign w:val="center"/>
          </w:tcPr>
          <w:p w14:paraId="07F5FDA5" w14:textId="77777777" w:rsidR="0029073B" w:rsidRPr="00EE48FD" w:rsidRDefault="0029073B" w:rsidP="007F3EE9">
            <w:pPr>
              <w:pStyle w:val="box458203"/>
              <w:spacing w:before="0" w:beforeAutospacing="0" w:after="0" w:afterAutospacing="0"/>
              <w:jc w:val="center"/>
              <w:textAlignment w:val="baseline"/>
              <w:rPr>
                <w:bCs/>
                <w:sz w:val="20"/>
                <w:szCs w:val="20"/>
              </w:rPr>
            </w:pPr>
            <w:r w:rsidRPr="00EE48FD">
              <w:rPr>
                <w:bCs/>
                <w:sz w:val="20"/>
                <w:szCs w:val="20"/>
              </w:rPr>
              <w:lastRenderedPageBreak/>
              <w:t>ZONA II.</w:t>
            </w:r>
          </w:p>
        </w:tc>
        <w:tc>
          <w:tcPr>
            <w:tcW w:w="6169" w:type="dxa"/>
            <w:vAlign w:val="center"/>
            <w:hideMark/>
          </w:tcPr>
          <w:p w14:paraId="031052D3" w14:textId="77777777" w:rsidR="0029073B" w:rsidRPr="00EE48FD" w:rsidRDefault="0029073B" w:rsidP="007F3EE9">
            <w:pPr>
              <w:pStyle w:val="box458203"/>
              <w:spacing w:before="0" w:beforeAutospacing="0" w:after="0" w:afterAutospacing="0"/>
              <w:jc w:val="both"/>
              <w:textAlignment w:val="baseline"/>
              <w:rPr>
                <w:bCs/>
                <w:sz w:val="20"/>
                <w:szCs w:val="20"/>
              </w:rPr>
            </w:pPr>
            <w:r w:rsidRPr="00EE48FD">
              <w:rPr>
                <w:bCs/>
                <w:sz w:val="20"/>
                <w:szCs w:val="20"/>
              </w:rPr>
              <w:t xml:space="preserve">- OPATIJA II. - granica ove zone polazi od mora Stubištem Stari put do ulice M. Tita, presijeca ulicu M. Tita pa nastavlja Stubištem Adeline del </w:t>
            </w:r>
            <w:proofErr w:type="spellStart"/>
            <w:r w:rsidRPr="00EE48FD">
              <w:rPr>
                <w:bCs/>
                <w:sz w:val="20"/>
                <w:szCs w:val="20"/>
              </w:rPr>
              <w:t>Mestri</w:t>
            </w:r>
            <w:proofErr w:type="spellEnd"/>
            <w:r w:rsidRPr="00EE48FD">
              <w:rPr>
                <w:bCs/>
                <w:sz w:val="20"/>
                <w:szCs w:val="20"/>
              </w:rPr>
              <w:t xml:space="preserve"> sve do križanja sa Stubištem Ivana </w:t>
            </w:r>
            <w:proofErr w:type="spellStart"/>
            <w:r w:rsidRPr="00EE48FD">
              <w:rPr>
                <w:bCs/>
                <w:sz w:val="20"/>
                <w:szCs w:val="20"/>
              </w:rPr>
              <w:t>Zavidića</w:t>
            </w:r>
            <w:proofErr w:type="spellEnd"/>
            <w:r w:rsidRPr="00EE48FD">
              <w:rPr>
                <w:bCs/>
                <w:sz w:val="20"/>
                <w:szCs w:val="20"/>
              </w:rPr>
              <w:t>, te nastavlja tim stubištem sve do ulice Nova cesta, ulicom Nova cesta od kućnog broja 58 uključujući i taj kućni broj nastavlja sve do križanja sa ulicom M. Tita, i tom ulicom ide do granice naselja Ičići gdje se stepeništem između restorana „MALI RAJ“ i hotela „IČIĆI“ spušta se do mora. Iz opisane granice izuzima sezona OPATIJA I,</w:t>
            </w:r>
          </w:p>
          <w:p w14:paraId="24461EC1" w14:textId="77777777" w:rsidR="0029073B" w:rsidRPr="00EE48FD" w:rsidRDefault="0029073B" w:rsidP="007F3EE9">
            <w:pPr>
              <w:pStyle w:val="box458203"/>
              <w:spacing w:before="0" w:beforeAutospacing="0" w:after="0" w:afterAutospacing="0"/>
              <w:jc w:val="both"/>
              <w:textAlignment w:val="baseline"/>
              <w:rPr>
                <w:bCs/>
                <w:sz w:val="20"/>
                <w:szCs w:val="20"/>
              </w:rPr>
            </w:pPr>
            <w:r w:rsidRPr="00EE48FD">
              <w:rPr>
                <w:bCs/>
                <w:sz w:val="20"/>
                <w:szCs w:val="20"/>
              </w:rPr>
              <w:t xml:space="preserve">-VOLOSKO I. - granica ove zone polazi od mora okomito na križanje ulice </w:t>
            </w:r>
            <w:proofErr w:type="spellStart"/>
            <w:r w:rsidRPr="00EE48FD">
              <w:rPr>
                <w:bCs/>
                <w:sz w:val="20"/>
                <w:szCs w:val="20"/>
              </w:rPr>
              <w:t>Črnikovica</w:t>
            </w:r>
            <w:proofErr w:type="spellEnd"/>
            <w:r w:rsidRPr="00EE48FD">
              <w:rPr>
                <w:bCs/>
                <w:sz w:val="20"/>
                <w:szCs w:val="20"/>
              </w:rPr>
              <w:t xml:space="preserve"> i ulice Ivana Matetića Ronjgova, nastavlja ulicom </w:t>
            </w:r>
            <w:proofErr w:type="spellStart"/>
            <w:r w:rsidRPr="00EE48FD">
              <w:rPr>
                <w:bCs/>
                <w:sz w:val="20"/>
                <w:szCs w:val="20"/>
              </w:rPr>
              <w:t>Črnikovica</w:t>
            </w:r>
            <w:proofErr w:type="spellEnd"/>
            <w:r w:rsidRPr="00EE48FD">
              <w:rPr>
                <w:bCs/>
                <w:sz w:val="20"/>
                <w:szCs w:val="20"/>
              </w:rPr>
              <w:t xml:space="preserve"> sve do križanja s ulicom Andrije </w:t>
            </w:r>
            <w:proofErr w:type="spellStart"/>
            <w:r w:rsidRPr="00EE48FD">
              <w:rPr>
                <w:bCs/>
                <w:sz w:val="20"/>
                <w:szCs w:val="20"/>
              </w:rPr>
              <w:t>Štangera</w:t>
            </w:r>
            <w:proofErr w:type="spellEnd"/>
            <w:r w:rsidRPr="00EE48FD">
              <w:rPr>
                <w:bCs/>
                <w:sz w:val="20"/>
                <w:szCs w:val="20"/>
              </w:rPr>
              <w:t xml:space="preserve">, nastavlja tom ulicom sve do ulice </w:t>
            </w:r>
            <w:proofErr w:type="spellStart"/>
            <w:r w:rsidRPr="00EE48FD">
              <w:rPr>
                <w:bCs/>
                <w:sz w:val="20"/>
                <w:szCs w:val="20"/>
              </w:rPr>
              <w:t>M.Tita</w:t>
            </w:r>
            <w:proofErr w:type="spellEnd"/>
            <w:r w:rsidRPr="00EE48FD">
              <w:rPr>
                <w:bCs/>
                <w:sz w:val="20"/>
                <w:szCs w:val="20"/>
              </w:rPr>
              <w:t xml:space="preserve">, gdje se Stubištem Stari put spušta do mora </w:t>
            </w:r>
          </w:p>
          <w:p w14:paraId="31168B23" w14:textId="77777777" w:rsidR="0029073B" w:rsidRPr="00EE48FD" w:rsidRDefault="0029073B" w:rsidP="007F3EE9">
            <w:pPr>
              <w:pStyle w:val="box458203"/>
              <w:spacing w:before="0" w:beforeAutospacing="0" w:after="0" w:afterAutospacing="0"/>
              <w:jc w:val="both"/>
              <w:textAlignment w:val="baseline"/>
              <w:rPr>
                <w:bCs/>
                <w:sz w:val="20"/>
                <w:szCs w:val="20"/>
              </w:rPr>
            </w:pPr>
            <w:r w:rsidRPr="00EE48FD">
              <w:rPr>
                <w:bCs/>
                <w:sz w:val="20"/>
                <w:szCs w:val="20"/>
              </w:rPr>
              <w:t xml:space="preserve">-IČIĆI/IKA I. - koja obuhvaća </w:t>
            </w:r>
            <w:proofErr w:type="spellStart"/>
            <w:r w:rsidRPr="00EE48FD">
              <w:rPr>
                <w:bCs/>
                <w:sz w:val="20"/>
                <w:szCs w:val="20"/>
              </w:rPr>
              <w:t>Liburnijsku</w:t>
            </w:r>
            <w:proofErr w:type="spellEnd"/>
            <w:r w:rsidRPr="00EE48FD">
              <w:rPr>
                <w:bCs/>
                <w:sz w:val="20"/>
                <w:szCs w:val="20"/>
              </w:rPr>
              <w:t xml:space="preserve"> ulicu u naselju Ičići i Primorsku ulicu u naselju Ika</w:t>
            </w:r>
          </w:p>
        </w:tc>
        <w:tc>
          <w:tcPr>
            <w:tcW w:w="1030" w:type="dxa"/>
            <w:noWrap/>
            <w:vAlign w:val="center"/>
            <w:hideMark/>
          </w:tcPr>
          <w:p w14:paraId="48E490F6" w14:textId="77777777" w:rsidR="0029073B" w:rsidRPr="00EE48FD" w:rsidRDefault="0029073B" w:rsidP="007F3EE9">
            <w:pPr>
              <w:pStyle w:val="box458203"/>
              <w:spacing w:before="0" w:beforeAutospacing="0" w:after="0" w:afterAutospacing="0"/>
              <w:jc w:val="center"/>
              <w:textAlignment w:val="baseline"/>
              <w:rPr>
                <w:b/>
                <w:sz w:val="20"/>
                <w:szCs w:val="20"/>
              </w:rPr>
            </w:pPr>
            <w:r w:rsidRPr="00EE48FD">
              <w:rPr>
                <w:b/>
                <w:sz w:val="20"/>
                <w:szCs w:val="20"/>
              </w:rPr>
              <w:t>0,9</w:t>
            </w:r>
          </w:p>
        </w:tc>
        <w:tc>
          <w:tcPr>
            <w:tcW w:w="1030" w:type="dxa"/>
            <w:vAlign w:val="center"/>
          </w:tcPr>
          <w:p w14:paraId="0399FFA4" w14:textId="77777777" w:rsidR="0029073B" w:rsidRPr="00EE48FD" w:rsidRDefault="0029073B" w:rsidP="007F3EE9">
            <w:pPr>
              <w:pStyle w:val="box458203"/>
              <w:spacing w:before="0" w:beforeAutospacing="0" w:after="0" w:afterAutospacing="0"/>
              <w:jc w:val="center"/>
              <w:textAlignment w:val="baseline"/>
              <w:rPr>
                <w:b/>
                <w:sz w:val="20"/>
                <w:szCs w:val="20"/>
              </w:rPr>
            </w:pPr>
            <w:r w:rsidRPr="00EE48FD">
              <w:rPr>
                <w:bCs/>
                <w:sz w:val="20"/>
                <w:szCs w:val="20"/>
              </w:rPr>
              <w:t>ZONA II.</w:t>
            </w:r>
          </w:p>
        </w:tc>
        <w:tc>
          <w:tcPr>
            <w:tcW w:w="5169" w:type="dxa"/>
            <w:vAlign w:val="center"/>
          </w:tcPr>
          <w:p w14:paraId="4F5D50E8" w14:textId="77777777" w:rsidR="00AE6314" w:rsidRPr="00EE48FD" w:rsidRDefault="00AE6314" w:rsidP="00AE6314">
            <w:pPr>
              <w:pStyle w:val="box458203"/>
              <w:spacing w:before="0" w:beforeAutospacing="0" w:after="0" w:afterAutospacing="0"/>
              <w:jc w:val="both"/>
              <w:textAlignment w:val="baseline"/>
              <w:rPr>
                <w:b/>
                <w:sz w:val="20"/>
                <w:szCs w:val="20"/>
              </w:rPr>
            </w:pPr>
            <w:r w:rsidRPr="00EE48FD">
              <w:rPr>
                <w:b/>
                <w:sz w:val="20"/>
                <w:szCs w:val="20"/>
              </w:rPr>
              <w:t>Obuhvaća područje dijela naselja Ičići i Ika od obalne linije do granice područja koja sjeverozapadnim dijelom ide:</w:t>
            </w:r>
          </w:p>
          <w:p w14:paraId="49F5A4FB" w14:textId="77777777" w:rsidR="00AE6314" w:rsidRPr="00EE48FD" w:rsidRDefault="00AE6314" w:rsidP="00AE6314">
            <w:pPr>
              <w:pStyle w:val="box458203"/>
              <w:spacing w:before="0" w:beforeAutospacing="0" w:after="0" w:afterAutospacing="0"/>
              <w:jc w:val="both"/>
              <w:textAlignment w:val="baseline"/>
              <w:rPr>
                <w:b/>
                <w:sz w:val="20"/>
                <w:szCs w:val="20"/>
              </w:rPr>
            </w:pPr>
            <w:r w:rsidRPr="00EE48FD">
              <w:rPr>
                <w:b/>
                <w:sz w:val="20"/>
                <w:szCs w:val="20"/>
              </w:rPr>
              <w:t>-</w:t>
            </w:r>
            <w:r w:rsidRPr="00EE48FD">
              <w:rPr>
                <w:b/>
                <w:sz w:val="20"/>
                <w:szCs w:val="20"/>
              </w:rPr>
              <w:tab/>
            </w:r>
            <w:proofErr w:type="spellStart"/>
            <w:r w:rsidRPr="00EE48FD">
              <w:rPr>
                <w:b/>
                <w:sz w:val="20"/>
                <w:szCs w:val="20"/>
              </w:rPr>
              <w:t>Liburnijskom</w:t>
            </w:r>
            <w:proofErr w:type="spellEnd"/>
            <w:r w:rsidRPr="00EE48FD">
              <w:rPr>
                <w:b/>
                <w:sz w:val="20"/>
                <w:szCs w:val="20"/>
              </w:rPr>
              <w:t xml:space="preserve"> ulicom u naselju Ičići, uključivo sve objekte s adresom u </w:t>
            </w:r>
            <w:proofErr w:type="spellStart"/>
            <w:r w:rsidRPr="00EE48FD">
              <w:rPr>
                <w:b/>
                <w:sz w:val="20"/>
                <w:szCs w:val="20"/>
              </w:rPr>
              <w:t>Liburnijskoj</w:t>
            </w:r>
            <w:proofErr w:type="spellEnd"/>
            <w:r w:rsidRPr="00EE48FD">
              <w:rPr>
                <w:b/>
                <w:sz w:val="20"/>
                <w:szCs w:val="20"/>
              </w:rPr>
              <w:t xml:space="preserve"> ulici te objekt na adresi </w:t>
            </w:r>
            <w:proofErr w:type="spellStart"/>
            <w:r w:rsidRPr="00EE48FD">
              <w:rPr>
                <w:b/>
                <w:sz w:val="20"/>
                <w:szCs w:val="20"/>
              </w:rPr>
              <w:t>A,Dminaka</w:t>
            </w:r>
            <w:proofErr w:type="spellEnd"/>
            <w:r w:rsidRPr="00EE48FD">
              <w:rPr>
                <w:b/>
                <w:sz w:val="20"/>
                <w:szCs w:val="20"/>
              </w:rPr>
              <w:t xml:space="preserve"> 2A. </w:t>
            </w:r>
          </w:p>
          <w:p w14:paraId="65A58BB2" w14:textId="6FC6FCB5" w:rsidR="0029073B" w:rsidRPr="00EE48FD" w:rsidRDefault="00AE6314" w:rsidP="00AE6314">
            <w:pPr>
              <w:pStyle w:val="box458203"/>
              <w:spacing w:before="0" w:beforeAutospacing="0" w:after="0" w:afterAutospacing="0"/>
              <w:jc w:val="both"/>
              <w:textAlignment w:val="baseline"/>
              <w:rPr>
                <w:b/>
                <w:sz w:val="20"/>
                <w:szCs w:val="20"/>
              </w:rPr>
            </w:pPr>
            <w:r w:rsidRPr="00EE48FD">
              <w:rPr>
                <w:b/>
                <w:sz w:val="20"/>
                <w:szCs w:val="20"/>
              </w:rPr>
              <w:t>-</w:t>
            </w:r>
            <w:r w:rsidRPr="00EE48FD">
              <w:rPr>
                <w:b/>
                <w:sz w:val="20"/>
                <w:szCs w:val="20"/>
              </w:rPr>
              <w:tab/>
              <w:t>Primorskom ulicom u naselju Ika, uključivo sve objekte s adresom u Primorskoj ulici,</w:t>
            </w:r>
          </w:p>
        </w:tc>
        <w:tc>
          <w:tcPr>
            <w:tcW w:w="1134" w:type="dxa"/>
            <w:vAlign w:val="center"/>
          </w:tcPr>
          <w:p w14:paraId="1AED2786" w14:textId="77777777" w:rsidR="0029073B" w:rsidRPr="00EE48FD" w:rsidRDefault="0029073B" w:rsidP="007F3EE9">
            <w:pPr>
              <w:pStyle w:val="box458203"/>
              <w:spacing w:before="0" w:beforeAutospacing="0" w:after="0" w:afterAutospacing="0"/>
              <w:jc w:val="center"/>
              <w:textAlignment w:val="baseline"/>
              <w:rPr>
                <w:b/>
                <w:sz w:val="20"/>
                <w:szCs w:val="20"/>
              </w:rPr>
            </w:pPr>
            <w:r w:rsidRPr="00EE48FD">
              <w:rPr>
                <w:b/>
                <w:sz w:val="20"/>
                <w:szCs w:val="20"/>
              </w:rPr>
              <w:t>0,9</w:t>
            </w:r>
          </w:p>
        </w:tc>
      </w:tr>
      <w:tr w:rsidR="00AE6314" w:rsidRPr="00EE48FD" w14:paraId="1AA4EAF9" w14:textId="77777777" w:rsidTr="0029073B">
        <w:trPr>
          <w:trHeight w:val="726"/>
          <w:jc w:val="center"/>
        </w:trPr>
        <w:tc>
          <w:tcPr>
            <w:tcW w:w="772" w:type="dxa"/>
            <w:vAlign w:val="center"/>
          </w:tcPr>
          <w:p w14:paraId="281CE686" w14:textId="77777777" w:rsidR="0029073B" w:rsidRPr="00EE48FD" w:rsidRDefault="0029073B" w:rsidP="007F3EE9">
            <w:pPr>
              <w:pStyle w:val="box458203"/>
              <w:spacing w:before="0" w:beforeAutospacing="0" w:after="0" w:afterAutospacing="0"/>
              <w:jc w:val="center"/>
              <w:textAlignment w:val="baseline"/>
              <w:rPr>
                <w:bCs/>
                <w:sz w:val="20"/>
                <w:szCs w:val="20"/>
              </w:rPr>
            </w:pPr>
            <w:r w:rsidRPr="00EE48FD">
              <w:rPr>
                <w:bCs/>
                <w:sz w:val="20"/>
                <w:szCs w:val="20"/>
              </w:rPr>
              <w:t>ZONA III.</w:t>
            </w:r>
          </w:p>
        </w:tc>
        <w:tc>
          <w:tcPr>
            <w:tcW w:w="6169" w:type="dxa"/>
            <w:vAlign w:val="center"/>
            <w:hideMark/>
          </w:tcPr>
          <w:p w14:paraId="77C45B2C" w14:textId="77777777" w:rsidR="0029073B" w:rsidRPr="00EE48FD" w:rsidRDefault="0029073B" w:rsidP="007F3EE9">
            <w:pPr>
              <w:pStyle w:val="box458203"/>
              <w:spacing w:before="0" w:beforeAutospacing="0" w:after="0" w:afterAutospacing="0"/>
              <w:jc w:val="both"/>
              <w:textAlignment w:val="baseline"/>
              <w:rPr>
                <w:bCs/>
                <w:sz w:val="20"/>
                <w:szCs w:val="20"/>
              </w:rPr>
            </w:pPr>
            <w:r w:rsidRPr="00EE48FD">
              <w:rPr>
                <w:bCs/>
                <w:sz w:val="20"/>
                <w:szCs w:val="20"/>
              </w:rPr>
              <w:t xml:space="preserve">VOLOSKO II -granica ove zone polazi od granice s Gradom Rijeka, ulicom Ivana Matetića Ronjgova, nastavlja ulicom Rikarda Katalinića </w:t>
            </w:r>
            <w:proofErr w:type="spellStart"/>
            <w:r w:rsidRPr="00EE48FD">
              <w:rPr>
                <w:bCs/>
                <w:sz w:val="20"/>
                <w:szCs w:val="20"/>
              </w:rPr>
              <w:t>Jeretova</w:t>
            </w:r>
            <w:proofErr w:type="spellEnd"/>
            <w:r w:rsidRPr="00EE48FD">
              <w:rPr>
                <w:bCs/>
                <w:sz w:val="20"/>
                <w:szCs w:val="20"/>
              </w:rPr>
              <w:t xml:space="preserve"> i to do križanja s ulicom M. Tita, isključujući zonu VOLOSKO I</w:t>
            </w:r>
          </w:p>
        </w:tc>
        <w:tc>
          <w:tcPr>
            <w:tcW w:w="1030" w:type="dxa"/>
            <w:noWrap/>
            <w:vAlign w:val="center"/>
            <w:hideMark/>
          </w:tcPr>
          <w:p w14:paraId="42EAA58A" w14:textId="77777777" w:rsidR="0029073B" w:rsidRPr="00EE48FD" w:rsidRDefault="0029073B" w:rsidP="007F3EE9">
            <w:pPr>
              <w:pStyle w:val="box458203"/>
              <w:spacing w:before="0" w:beforeAutospacing="0" w:after="0" w:afterAutospacing="0"/>
              <w:jc w:val="center"/>
              <w:textAlignment w:val="baseline"/>
              <w:rPr>
                <w:b/>
                <w:sz w:val="20"/>
                <w:szCs w:val="20"/>
              </w:rPr>
            </w:pPr>
            <w:r w:rsidRPr="00EE48FD">
              <w:rPr>
                <w:b/>
                <w:sz w:val="20"/>
                <w:szCs w:val="20"/>
              </w:rPr>
              <w:t>0,8</w:t>
            </w:r>
          </w:p>
        </w:tc>
        <w:tc>
          <w:tcPr>
            <w:tcW w:w="1030" w:type="dxa"/>
            <w:vMerge w:val="restart"/>
            <w:vAlign w:val="center"/>
          </w:tcPr>
          <w:p w14:paraId="3EDD7108" w14:textId="77777777" w:rsidR="0029073B" w:rsidRPr="00EE48FD" w:rsidRDefault="0029073B" w:rsidP="007F3EE9">
            <w:pPr>
              <w:pStyle w:val="box458203"/>
              <w:spacing w:before="0" w:beforeAutospacing="0" w:after="0" w:afterAutospacing="0"/>
              <w:jc w:val="center"/>
              <w:textAlignment w:val="baseline"/>
              <w:rPr>
                <w:b/>
                <w:sz w:val="20"/>
                <w:szCs w:val="20"/>
              </w:rPr>
            </w:pPr>
            <w:r w:rsidRPr="00EE48FD">
              <w:rPr>
                <w:bCs/>
                <w:sz w:val="20"/>
                <w:szCs w:val="20"/>
              </w:rPr>
              <w:t>ZONA III.</w:t>
            </w:r>
          </w:p>
        </w:tc>
        <w:tc>
          <w:tcPr>
            <w:tcW w:w="5169" w:type="dxa"/>
            <w:vMerge w:val="restart"/>
            <w:vAlign w:val="center"/>
          </w:tcPr>
          <w:p w14:paraId="504607D6" w14:textId="4A6AA238" w:rsidR="0029073B" w:rsidRPr="00EE48FD" w:rsidRDefault="00AE6314" w:rsidP="007F3EE9">
            <w:pPr>
              <w:pStyle w:val="box458203"/>
              <w:spacing w:before="0" w:beforeAutospacing="0" w:after="0" w:afterAutospacing="0"/>
              <w:jc w:val="both"/>
              <w:textAlignment w:val="baseline"/>
              <w:rPr>
                <w:b/>
                <w:sz w:val="20"/>
                <w:szCs w:val="20"/>
              </w:rPr>
            </w:pPr>
            <w:r w:rsidRPr="00EE48FD">
              <w:rPr>
                <w:b/>
                <w:sz w:val="20"/>
                <w:szCs w:val="20"/>
              </w:rPr>
              <w:t xml:space="preserve">Obuhvaća dio područja naselja Opatija iznad (sjeverozapadno) područja ZONE 1, do granica s Općinom Matulji, naseljima </w:t>
            </w:r>
            <w:proofErr w:type="spellStart"/>
            <w:r w:rsidRPr="00EE48FD">
              <w:rPr>
                <w:b/>
                <w:sz w:val="20"/>
                <w:szCs w:val="20"/>
              </w:rPr>
              <w:t>Pobri</w:t>
            </w:r>
            <w:proofErr w:type="spellEnd"/>
            <w:r w:rsidRPr="00EE48FD">
              <w:rPr>
                <w:b/>
                <w:sz w:val="20"/>
                <w:szCs w:val="20"/>
              </w:rPr>
              <w:t xml:space="preserve">, </w:t>
            </w:r>
            <w:proofErr w:type="spellStart"/>
            <w:r w:rsidRPr="00EE48FD">
              <w:rPr>
                <w:b/>
                <w:sz w:val="20"/>
                <w:szCs w:val="20"/>
              </w:rPr>
              <w:t>Ičići</w:t>
            </w:r>
            <w:proofErr w:type="spellEnd"/>
            <w:r w:rsidRPr="00EE48FD">
              <w:rPr>
                <w:b/>
                <w:sz w:val="20"/>
                <w:szCs w:val="20"/>
              </w:rPr>
              <w:t xml:space="preserve"> i Veprinac,</w:t>
            </w:r>
          </w:p>
        </w:tc>
        <w:tc>
          <w:tcPr>
            <w:tcW w:w="1134" w:type="dxa"/>
            <w:vMerge w:val="restart"/>
            <w:vAlign w:val="center"/>
          </w:tcPr>
          <w:p w14:paraId="29A784F8" w14:textId="77777777" w:rsidR="0029073B" w:rsidRPr="00EE48FD" w:rsidRDefault="0029073B" w:rsidP="007F3EE9">
            <w:pPr>
              <w:pStyle w:val="box458203"/>
              <w:spacing w:before="0" w:beforeAutospacing="0" w:after="0" w:afterAutospacing="0"/>
              <w:jc w:val="center"/>
              <w:textAlignment w:val="baseline"/>
              <w:rPr>
                <w:b/>
                <w:sz w:val="20"/>
                <w:szCs w:val="20"/>
              </w:rPr>
            </w:pPr>
            <w:r w:rsidRPr="00EE48FD">
              <w:rPr>
                <w:b/>
                <w:sz w:val="20"/>
                <w:szCs w:val="20"/>
              </w:rPr>
              <w:t>0,8</w:t>
            </w:r>
          </w:p>
        </w:tc>
      </w:tr>
      <w:tr w:rsidR="00AE6314" w:rsidRPr="00EE48FD" w14:paraId="0D4C0EB6" w14:textId="77777777" w:rsidTr="0029073B">
        <w:trPr>
          <w:trHeight w:val="1512"/>
          <w:jc w:val="center"/>
        </w:trPr>
        <w:tc>
          <w:tcPr>
            <w:tcW w:w="772" w:type="dxa"/>
            <w:vAlign w:val="center"/>
          </w:tcPr>
          <w:p w14:paraId="43D713DF" w14:textId="77777777" w:rsidR="0029073B" w:rsidRPr="00EE48FD" w:rsidRDefault="0029073B" w:rsidP="007F3EE9">
            <w:pPr>
              <w:pStyle w:val="box458203"/>
              <w:spacing w:before="0" w:beforeAutospacing="0" w:after="0" w:afterAutospacing="0"/>
              <w:jc w:val="center"/>
              <w:textAlignment w:val="baseline"/>
              <w:rPr>
                <w:bCs/>
                <w:sz w:val="20"/>
                <w:szCs w:val="20"/>
              </w:rPr>
            </w:pPr>
            <w:r w:rsidRPr="00EE48FD">
              <w:rPr>
                <w:bCs/>
                <w:sz w:val="20"/>
                <w:szCs w:val="20"/>
              </w:rPr>
              <w:t>ZONA IV.</w:t>
            </w:r>
          </w:p>
          <w:p w14:paraId="2D221B71" w14:textId="77777777" w:rsidR="0029073B" w:rsidRPr="00EE48FD" w:rsidRDefault="0029073B" w:rsidP="007F3EE9">
            <w:pPr>
              <w:pStyle w:val="box458203"/>
              <w:spacing w:before="0" w:beforeAutospacing="0" w:after="0" w:afterAutospacing="0"/>
              <w:jc w:val="center"/>
              <w:textAlignment w:val="baseline"/>
              <w:rPr>
                <w:bCs/>
                <w:sz w:val="20"/>
                <w:szCs w:val="20"/>
              </w:rPr>
            </w:pPr>
          </w:p>
        </w:tc>
        <w:tc>
          <w:tcPr>
            <w:tcW w:w="6169" w:type="dxa"/>
            <w:vAlign w:val="center"/>
            <w:hideMark/>
          </w:tcPr>
          <w:p w14:paraId="10839831" w14:textId="77777777" w:rsidR="0029073B" w:rsidRPr="00EE48FD" w:rsidRDefault="0029073B" w:rsidP="007F3EE9">
            <w:pPr>
              <w:pStyle w:val="box458203"/>
              <w:spacing w:before="0" w:beforeAutospacing="0" w:after="0" w:afterAutospacing="0"/>
              <w:jc w:val="both"/>
              <w:textAlignment w:val="baseline"/>
              <w:rPr>
                <w:bCs/>
                <w:sz w:val="20"/>
                <w:szCs w:val="20"/>
              </w:rPr>
            </w:pPr>
            <w:r w:rsidRPr="00EE48FD">
              <w:rPr>
                <w:bCs/>
                <w:sz w:val="20"/>
                <w:szCs w:val="20"/>
              </w:rPr>
              <w:t xml:space="preserve">OPATIJA III. - granica ove zone obuhvaća dio naselja Opatija iznad zone OPATIJA II., i to počev od kućnog broja 59 u ulici Nova cesta, do granice sa naseljima: </w:t>
            </w:r>
            <w:proofErr w:type="spellStart"/>
            <w:r w:rsidRPr="00EE48FD">
              <w:rPr>
                <w:bCs/>
                <w:sz w:val="20"/>
                <w:szCs w:val="20"/>
              </w:rPr>
              <w:t>Pobri</w:t>
            </w:r>
            <w:proofErr w:type="spellEnd"/>
            <w:r w:rsidRPr="00EE48FD">
              <w:rPr>
                <w:bCs/>
                <w:sz w:val="20"/>
                <w:szCs w:val="20"/>
              </w:rPr>
              <w:t xml:space="preserve"> i Veprinac i</w:t>
            </w:r>
            <w:r w:rsidRPr="00EE48FD">
              <w:rPr>
                <w:bCs/>
                <w:sz w:val="20"/>
                <w:szCs w:val="20"/>
              </w:rPr>
              <w:br/>
              <w:t xml:space="preserve">-VOLOSKO III. - ova zona obuhvaća ostala područja od granice s Gradom Rijeka i Općinom Matulji do granica sa zonama VOLOSKO II., OPATIJA II. i OPATIJA III kao i do granice sa naseljem </w:t>
            </w:r>
            <w:proofErr w:type="spellStart"/>
            <w:r w:rsidRPr="00EE48FD">
              <w:rPr>
                <w:bCs/>
                <w:sz w:val="20"/>
                <w:szCs w:val="20"/>
              </w:rPr>
              <w:t>Pobri</w:t>
            </w:r>
            <w:proofErr w:type="spellEnd"/>
            <w:r w:rsidRPr="00EE48FD">
              <w:rPr>
                <w:bCs/>
                <w:sz w:val="20"/>
                <w:szCs w:val="20"/>
              </w:rPr>
              <w:t>,</w:t>
            </w:r>
          </w:p>
        </w:tc>
        <w:tc>
          <w:tcPr>
            <w:tcW w:w="1030" w:type="dxa"/>
            <w:noWrap/>
            <w:vAlign w:val="center"/>
            <w:hideMark/>
          </w:tcPr>
          <w:p w14:paraId="237256FC" w14:textId="77777777" w:rsidR="0029073B" w:rsidRPr="00EE48FD" w:rsidRDefault="0029073B" w:rsidP="007F3EE9">
            <w:pPr>
              <w:pStyle w:val="box458203"/>
              <w:spacing w:before="0" w:beforeAutospacing="0" w:after="0" w:afterAutospacing="0"/>
              <w:jc w:val="center"/>
              <w:textAlignment w:val="baseline"/>
              <w:rPr>
                <w:b/>
                <w:sz w:val="20"/>
                <w:szCs w:val="20"/>
              </w:rPr>
            </w:pPr>
            <w:r w:rsidRPr="00EE48FD">
              <w:rPr>
                <w:b/>
                <w:sz w:val="20"/>
                <w:szCs w:val="20"/>
              </w:rPr>
              <w:t>0,7</w:t>
            </w:r>
          </w:p>
        </w:tc>
        <w:tc>
          <w:tcPr>
            <w:tcW w:w="1030" w:type="dxa"/>
            <w:vMerge/>
            <w:vAlign w:val="center"/>
          </w:tcPr>
          <w:p w14:paraId="747FCA73" w14:textId="77777777" w:rsidR="0029073B" w:rsidRPr="00EE48FD" w:rsidRDefault="0029073B" w:rsidP="007F3EE9">
            <w:pPr>
              <w:pStyle w:val="box458203"/>
              <w:spacing w:before="0" w:beforeAutospacing="0" w:after="0" w:afterAutospacing="0"/>
              <w:jc w:val="center"/>
              <w:textAlignment w:val="baseline"/>
              <w:rPr>
                <w:b/>
                <w:sz w:val="20"/>
                <w:szCs w:val="20"/>
              </w:rPr>
            </w:pPr>
          </w:p>
        </w:tc>
        <w:tc>
          <w:tcPr>
            <w:tcW w:w="5169" w:type="dxa"/>
            <w:vMerge/>
            <w:vAlign w:val="center"/>
          </w:tcPr>
          <w:p w14:paraId="658693DD" w14:textId="77777777" w:rsidR="0029073B" w:rsidRPr="00EE48FD" w:rsidRDefault="0029073B" w:rsidP="007F3EE9">
            <w:pPr>
              <w:pStyle w:val="box458203"/>
              <w:spacing w:before="0" w:beforeAutospacing="0" w:after="0" w:afterAutospacing="0"/>
              <w:jc w:val="both"/>
              <w:textAlignment w:val="baseline"/>
              <w:rPr>
                <w:b/>
                <w:sz w:val="20"/>
                <w:szCs w:val="20"/>
              </w:rPr>
            </w:pPr>
          </w:p>
        </w:tc>
        <w:tc>
          <w:tcPr>
            <w:tcW w:w="1134" w:type="dxa"/>
            <w:vMerge/>
            <w:vAlign w:val="center"/>
          </w:tcPr>
          <w:p w14:paraId="76E36950" w14:textId="77777777" w:rsidR="0029073B" w:rsidRPr="00EE48FD" w:rsidRDefault="0029073B" w:rsidP="007F3EE9">
            <w:pPr>
              <w:pStyle w:val="box458203"/>
              <w:spacing w:before="0" w:beforeAutospacing="0" w:after="0" w:afterAutospacing="0"/>
              <w:jc w:val="center"/>
              <w:textAlignment w:val="baseline"/>
              <w:rPr>
                <w:b/>
                <w:sz w:val="20"/>
                <w:szCs w:val="20"/>
              </w:rPr>
            </w:pPr>
          </w:p>
        </w:tc>
      </w:tr>
      <w:tr w:rsidR="00AE6314" w:rsidRPr="00EE48FD" w14:paraId="69F5B8C0" w14:textId="77777777" w:rsidTr="0029073B">
        <w:trPr>
          <w:trHeight w:val="647"/>
          <w:jc w:val="center"/>
        </w:trPr>
        <w:tc>
          <w:tcPr>
            <w:tcW w:w="772" w:type="dxa"/>
            <w:vAlign w:val="center"/>
          </w:tcPr>
          <w:p w14:paraId="39DD1E48" w14:textId="77777777" w:rsidR="0029073B" w:rsidRPr="00EE48FD" w:rsidRDefault="0029073B" w:rsidP="007F3EE9">
            <w:pPr>
              <w:pStyle w:val="box458203"/>
              <w:spacing w:before="0" w:beforeAutospacing="0" w:after="0" w:afterAutospacing="0"/>
              <w:jc w:val="center"/>
              <w:textAlignment w:val="baseline"/>
              <w:rPr>
                <w:bCs/>
                <w:sz w:val="20"/>
                <w:szCs w:val="20"/>
              </w:rPr>
            </w:pPr>
            <w:r w:rsidRPr="00EE48FD">
              <w:rPr>
                <w:bCs/>
                <w:sz w:val="20"/>
                <w:szCs w:val="20"/>
              </w:rPr>
              <w:t>ZONA V.</w:t>
            </w:r>
          </w:p>
        </w:tc>
        <w:tc>
          <w:tcPr>
            <w:tcW w:w="6169" w:type="dxa"/>
            <w:vAlign w:val="center"/>
            <w:hideMark/>
          </w:tcPr>
          <w:p w14:paraId="72DF728A" w14:textId="77777777" w:rsidR="0029073B" w:rsidRPr="00EE48FD" w:rsidRDefault="0029073B" w:rsidP="007F3EE9">
            <w:pPr>
              <w:pStyle w:val="box458203"/>
              <w:spacing w:before="0" w:beforeAutospacing="0" w:after="0" w:afterAutospacing="0"/>
              <w:jc w:val="both"/>
              <w:textAlignment w:val="baseline"/>
              <w:rPr>
                <w:bCs/>
                <w:sz w:val="20"/>
                <w:szCs w:val="20"/>
              </w:rPr>
            </w:pPr>
            <w:r w:rsidRPr="00EE48FD">
              <w:rPr>
                <w:bCs/>
                <w:sz w:val="20"/>
                <w:szCs w:val="20"/>
              </w:rPr>
              <w:t xml:space="preserve">IČIĆI/IKA II. - koja obuhvaća ostala područja naselja Ičići i Ika, sve do granica sa naseljima Veprinac, Poljane i Oprić </w:t>
            </w:r>
          </w:p>
        </w:tc>
        <w:tc>
          <w:tcPr>
            <w:tcW w:w="1030" w:type="dxa"/>
            <w:noWrap/>
            <w:vAlign w:val="center"/>
            <w:hideMark/>
          </w:tcPr>
          <w:p w14:paraId="013A15CB" w14:textId="77777777" w:rsidR="0029073B" w:rsidRPr="00EE48FD" w:rsidRDefault="0029073B" w:rsidP="007F3EE9">
            <w:pPr>
              <w:pStyle w:val="box458203"/>
              <w:spacing w:before="0" w:beforeAutospacing="0" w:after="0" w:afterAutospacing="0"/>
              <w:jc w:val="center"/>
              <w:textAlignment w:val="baseline"/>
              <w:rPr>
                <w:b/>
                <w:sz w:val="20"/>
                <w:szCs w:val="20"/>
              </w:rPr>
            </w:pPr>
            <w:r w:rsidRPr="00EE48FD">
              <w:rPr>
                <w:b/>
                <w:sz w:val="20"/>
                <w:szCs w:val="20"/>
              </w:rPr>
              <w:t>0,5</w:t>
            </w:r>
          </w:p>
        </w:tc>
        <w:tc>
          <w:tcPr>
            <w:tcW w:w="1030" w:type="dxa"/>
            <w:vAlign w:val="center"/>
          </w:tcPr>
          <w:p w14:paraId="2C62B163" w14:textId="77777777" w:rsidR="0029073B" w:rsidRPr="00EE48FD" w:rsidRDefault="0029073B" w:rsidP="007F3EE9">
            <w:pPr>
              <w:pStyle w:val="box458203"/>
              <w:spacing w:before="0" w:beforeAutospacing="0" w:after="0" w:afterAutospacing="0"/>
              <w:jc w:val="center"/>
              <w:textAlignment w:val="baseline"/>
              <w:rPr>
                <w:b/>
                <w:sz w:val="20"/>
                <w:szCs w:val="20"/>
              </w:rPr>
            </w:pPr>
            <w:r w:rsidRPr="00EE48FD">
              <w:rPr>
                <w:bCs/>
                <w:sz w:val="20"/>
                <w:szCs w:val="20"/>
              </w:rPr>
              <w:t>ZONA IV.</w:t>
            </w:r>
          </w:p>
        </w:tc>
        <w:tc>
          <w:tcPr>
            <w:tcW w:w="5169" w:type="dxa"/>
            <w:vAlign w:val="center"/>
          </w:tcPr>
          <w:p w14:paraId="613BF5FC" w14:textId="5858B80C" w:rsidR="0029073B" w:rsidRPr="00EE48FD" w:rsidRDefault="00AE6314" w:rsidP="007F3EE9">
            <w:pPr>
              <w:pStyle w:val="box458203"/>
              <w:spacing w:before="0" w:beforeAutospacing="0" w:after="0" w:afterAutospacing="0"/>
              <w:jc w:val="both"/>
              <w:textAlignment w:val="baseline"/>
              <w:rPr>
                <w:b/>
                <w:sz w:val="20"/>
                <w:szCs w:val="20"/>
              </w:rPr>
            </w:pPr>
            <w:r w:rsidRPr="00EE48FD">
              <w:rPr>
                <w:b/>
                <w:sz w:val="20"/>
                <w:szCs w:val="20"/>
              </w:rPr>
              <w:t xml:space="preserve">Obuhvaća dio područja naselja Ičići i naselja Ika iznad (sjeverozapadno) područja ZONE 2, do granica s naseljima Poljane, Veprinac i </w:t>
            </w:r>
            <w:proofErr w:type="spellStart"/>
            <w:r w:rsidRPr="00EE48FD">
              <w:rPr>
                <w:b/>
                <w:sz w:val="20"/>
                <w:szCs w:val="20"/>
              </w:rPr>
              <w:t>Oprič</w:t>
            </w:r>
            <w:proofErr w:type="spellEnd"/>
            <w:r w:rsidRPr="00EE48FD">
              <w:rPr>
                <w:b/>
                <w:sz w:val="20"/>
                <w:szCs w:val="20"/>
              </w:rPr>
              <w:t>,</w:t>
            </w:r>
          </w:p>
        </w:tc>
        <w:tc>
          <w:tcPr>
            <w:tcW w:w="1134" w:type="dxa"/>
            <w:vAlign w:val="center"/>
          </w:tcPr>
          <w:p w14:paraId="5458B3C7" w14:textId="77777777" w:rsidR="0029073B" w:rsidRPr="00EE48FD" w:rsidRDefault="0029073B" w:rsidP="007F3EE9">
            <w:pPr>
              <w:pStyle w:val="box458203"/>
              <w:spacing w:before="0" w:beforeAutospacing="0" w:after="0" w:afterAutospacing="0"/>
              <w:jc w:val="center"/>
              <w:textAlignment w:val="baseline"/>
              <w:rPr>
                <w:b/>
                <w:sz w:val="20"/>
                <w:szCs w:val="20"/>
              </w:rPr>
            </w:pPr>
            <w:r w:rsidRPr="00EE48FD">
              <w:rPr>
                <w:b/>
                <w:sz w:val="20"/>
                <w:szCs w:val="20"/>
              </w:rPr>
              <w:t>0,6</w:t>
            </w:r>
          </w:p>
        </w:tc>
      </w:tr>
      <w:tr w:rsidR="00AE6314" w:rsidRPr="00EE48FD" w14:paraId="5DF7066D" w14:textId="77777777" w:rsidTr="0029073B">
        <w:trPr>
          <w:trHeight w:val="792"/>
          <w:jc w:val="center"/>
        </w:trPr>
        <w:tc>
          <w:tcPr>
            <w:tcW w:w="772" w:type="dxa"/>
            <w:vMerge w:val="restart"/>
            <w:vAlign w:val="center"/>
          </w:tcPr>
          <w:p w14:paraId="12BD8754" w14:textId="77777777" w:rsidR="0029073B" w:rsidRPr="00EE48FD" w:rsidRDefault="0029073B" w:rsidP="007F3EE9">
            <w:pPr>
              <w:pStyle w:val="box458203"/>
              <w:spacing w:before="0" w:beforeAutospacing="0" w:after="0" w:afterAutospacing="0"/>
              <w:jc w:val="center"/>
              <w:textAlignment w:val="baseline"/>
              <w:rPr>
                <w:bCs/>
                <w:sz w:val="20"/>
                <w:szCs w:val="20"/>
              </w:rPr>
            </w:pPr>
            <w:r w:rsidRPr="00EE48FD">
              <w:rPr>
                <w:bCs/>
                <w:sz w:val="20"/>
                <w:szCs w:val="20"/>
              </w:rPr>
              <w:t>ZONA VI.</w:t>
            </w:r>
          </w:p>
        </w:tc>
        <w:tc>
          <w:tcPr>
            <w:tcW w:w="6169" w:type="dxa"/>
            <w:vMerge w:val="restart"/>
            <w:vAlign w:val="center"/>
            <w:hideMark/>
          </w:tcPr>
          <w:p w14:paraId="0BFD525F" w14:textId="4762A4E4" w:rsidR="0029073B" w:rsidRPr="00EE48FD" w:rsidRDefault="0029073B" w:rsidP="007F3EE9">
            <w:pPr>
              <w:pStyle w:val="box458203"/>
              <w:spacing w:before="0" w:beforeAutospacing="0" w:after="0" w:afterAutospacing="0"/>
              <w:jc w:val="both"/>
              <w:textAlignment w:val="baseline"/>
              <w:rPr>
                <w:bCs/>
                <w:sz w:val="20"/>
                <w:szCs w:val="20"/>
              </w:rPr>
            </w:pPr>
            <w:r w:rsidRPr="00EE48FD">
              <w:rPr>
                <w:bCs/>
                <w:sz w:val="20"/>
                <w:szCs w:val="20"/>
              </w:rPr>
              <w:t xml:space="preserve">OSTALI - koja obuhvaća ostala područja Grada Opatije u kojima se naplaćuje komunalna naknada, a to su naselja: </w:t>
            </w:r>
            <w:proofErr w:type="spellStart"/>
            <w:r w:rsidRPr="00EE48FD">
              <w:rPr>
                <w:bCs/>
                <w:sz w:val="20"/>
                <w:szCs w:val="20"/>
              </w:rPr>
              <w:t>Pobri</w:t>
            </w:r>
            <w:proofErr w:type="spellEnd"/>
            <w:r w:rsidRPr="00EE48FD">
              <w:rPr>
                <w:bCs/>
                <w:sz w:val="20"/>
                <w:szCs w:val="20"/>
              </w:rPr>
              <w:t xml:space="preserve">, Vela Učka, </w:t>
            </w:r>
            <w:r w:rsidR="004F61BF" w:rsidRPr="00EE48FD">
              <w:rPr>
                <w:bCs/>
                <w:sz w:val="20"/>
                <w:szCs w:val="20"/>
              </w:rPr>
              <w:t xml:space="preserve">Poljane, Veprinac, </w:t>
            </w:r>
            <w:r w:rsidRPr="00EE48FD">
              <w:rPr>
                <w:bCs/>
                <w:sz w:val="20"/>
                <w:szCs w:val="20"/>
              </w:rPr>
              <w:t xml:space="preserve">Oprić i </w:t>
            </w:r>
            <w:proofErr w:type="spellStart"/>
            <w:r w:rsidRPr="00EE48FD">
              <w:rPr>
                <w:bCs/>
                <w:sz w:val="20"/>
                <w:szCs w:val="20"/>
              </w:rPr>
              <w:t>Dobreć</w:t>
            </w:r>
            <w:proofErr w:type="spellEnd"/>
            <w:r w:rsidRPr="00EE48FD">
              <w:rPr>
                <w:bCs/>
                <w:sz w:val="20"/>
                <w:szCs w:val="20"/>
              </w:rPr>
              <w:t>.</w:t>
            </w:r>
          </w:p>
        </w:tc>
        <w:tc>
          <w:tcPr>
            <w:tcW w:w="1030" w:type="dxa"/>
            <w:vMerge w:val="restart"/>
            <w:noWrap/>
            <w:vAlign w:val="center"/>
            <w:hideMark/>
          </w:tcPr>
          <w:p w14:paraId="104DCA7A" w14:textId="77777777" w:rsidR="0029073B" w:rsidRPr="00EE48FD" w:rsidRDefault="0029073B" w:rsidP="007F3EE9">
            <w:pPr>
              <w:pStyle w:val="box458203"/>
              <w:spacing w:before="0" w:beforeAutospacing="0" w:after="0" w:afterAutospacing="0"/>
              <w:jc w:val="center"/>
              <w:textAlignment w:val="baseline"/>
              <w:rPr>
                <w:b/>
                <w:sz w:val="20"/>
                <w:szCs w:val="20"/>
              </w:rPr>
            </w:pPr>
            <w:r w:rsidRPr="00EE48FD">
              <w:rPr>
                <w:b/>
                <w:sz w:val="20"/>
                <w:szCs w:val="20"/>
              </w:rPr>
              <w:t>0,3</w:t>
            </w:r>
          </w:p>
        </w:tc>
        <w:tc>
          <w:tcPr>
            <w:tcW w:w="1030" w:type="dxa"/>
            <w:vAlign w:val="center"/>
          </w:tcPr>
          <w:p w14:paraId="135D5422" w14:textId="77777777" w:rsidR="0029073B" w:rsidRPr="00EE48FD" w:rsidRDefault="0029073B" w:rsidP="007F3EE9">
            <w:pPr>
              <w:pStyle w:val="box458203"/>
              <w:spacing w:before="0" w:beforeAutospacing="0" w:after="0" w:afterAutospacing="0"/>
              <w:jc w:val="center"/>
              <w:textAlignment w:val="baseline"/>
              <w:rPr>
                <w:b/>
                <w:sz w:val="20"/>
                <w:szCs w:val="20"/>
              </w:rPr>
            </w:pPr>
            <w:r w:rsidRPr="00EE48FD">
              <w:rPr>
                <w:bCs/>
                <w:sz w:val="20"/>
                <w:szCs w:val="20"/>
              </w:rPr>
              <w:t>ZONA V.</w:t>
            </w:r>
          </w:p>
        </w:tc>
        <w:tc>
          <w:tcPr>
            <w:tcW w:w="5169" w:type="dxa"/>
            <w:vAlign w:val="center"/>
          </w:tcPr>
          <w:p w14:paraId="7E715D76" w14:textId="77777777" w:rsidR="0029073B" w:rsidRPr="00EE48FD" w:rsidRDefault="0029073B" w:rsidP="004F61BF">
            <w:pPr>
              <w:pStyle w:val="box458203"/>
              <w:spacing w:before="0" w:beforeAutospacing="0" w:after="0" w:afterAutospacing="0"/>
              <w:jc w:val="both"/>
              <w:textAlignment w:val="baseline"/>
              <w:rPr>
                <w:b/>
                <w:sz w:val="20"/>
                <w:szCs w:val="20"/>
              </w:rPr>
            </w:pPr>
            <w:r w:rsidRPr="00EE48FD">
              <w:rPr>
                <w:b/>
                <w:sz w:val="20"/>
                <w:szCs w:val="20"/>
              </w:rPr>
              <w:t xml:space="preserve">Obuhvaća područje naselja </w:t>
            </w:r>
            <w:proofErr w:type="spellStart"/>
            <w:r w:rsidRPr="00EE48FD">
              <w:rPr>
                <w:b/>
                <w:sz w:val="20"/>
                <w:szCs w:val="20"/>
              </w:rPr>
              <w:t>Oprič</w:t>
            </w:r>
            <w:proofErr w:type="spellEnd"/>
            <w:r w:rsidRPr="00EE48FD">
              <w:rPr>
                <w:b/>
                <w:sz w:val="20"/>
                <w:szCs w:val="20"/>
              </w:rPr>
              <w:t xml:space="preserve"> i </w:t>
            </w:r>
            <w:proofErr w:type="spellStart"/>
            <w:r w:rsidRPr="00EE48FD">
              <w:rPr>
                <w:b/>
                <w:sz w:val="20"/>
                <w:szCs w:val="20"/>
              </w:rPr>
              <w:t>Pobri</w:t>
            </w:r>
            <w:proofErr w:type="spellEnd"/>
            <w:r w:rsidRPr="00EE48FD">
              <w:rPr>
                <w:b/>
                <w:sz w:val="20"/>
                <w:szCs w:val="20"/>
              </w:rPr>
              <w:t>,</w:t>
            </w:r>
          </w:p>
        </w:tc>
        <w:tc>
          <w:tcPr>
            <w:tcW w:w="1134" w:type="dxa"/>
            <w:vAlign w:val="center"/>
          </w:tcPr>
          <w:p w14:paraId="5E1B7226" w14:textId="77777777" w:rsidR="0029073B" w:rsidRPr="00EE48FD" w:rsidRDefault="0029073B" w:rsidP="007F3EE9">
            <w:pPr>
              <w:pStyle w:val="box458203"/>
              <w:spacing w:before="0" w:beforeAutospacing="0" w:after="0" w:afterAutospacing="0"/>
              <w:jc w:val="center"/>
              <w:textAlignment w:val="baseline"/>
              <w:rPr>
                <w:b/>
                <w:sz w:val="20"/>
                <w:szCs w:val="20"/>
              </w:rPr>
            </w:pPr>
            <w:r w:rsidRPr="00EE48FD">
              <w:rPr>
                <w:b/>
                <w:sz w:val="20"/>
                <w:szCs w:val="20"/>
              </w:rPr>
              <w:t>0,5</w:t>
            </w:r>
          </w:p>
        </w:tc>
      </w:tr>
      <w:tr w:rsidR="00AE6314" w:rsidRPr="00EE48FD" w14:paraId="323D4D89" w14:textId="77777777" w:rsidTr="0029073B">
        <w:trPr>
          <w:trHeight w:val="792"/>
          <w:jc w:val="center"/>
        </w:trPr>
        <w:tc>
          <w:tcPr>
            <w:tcW w:w="772" w:type="dxa"/>
            <w:vMerge/>
            <w:vAlign w:val="center"/>
          </w:tcPr>
          <w:p w14:paraId="68BE6FA4" w14:textId="77777777" w:rsidR="0029073B" w:rsidRPr="00EE48FD" w:rsidRDefault="0029073B" w:rsidP="007F3EE9">
            <w:pPr>
              <w:pStyle w:val="box458203"/>
              <w:spacing w:before="0" w:beforeAutospacing="0" w:after="0" w:afterAutospacing="0"/>
              <w:jc w:val="center"/>
              <w:textAlignment w:val="baseline"/>
              <w:rPr>
                <w:bCs/>
                <w:sz w:val="20"/>
                <w:szCs w:val="20"/>
              </w:rPr>
            </w:pPr>
          </w:p>
        </w:tc>
        <w:tc>
          <w:tcPr>
            <w:tcW w:w="6169" w:type="dxa"/>
            <w:vMerge/>
            <w:vAlign w:val="center"/>
          </w:tcPr>
          <w:p w14:paraId="6CCDE3EE" w14:textId="77777777" w:rsidR="0029073B" w:rsidRPr="00EE48FD" w:rsidRDefault="0029073B" w:rsidP="007F3EE9">
            <w:pPr>
              <w:pStyle w:val="box458203"/>
              <w:spacing w:before="0" w:beforeAutospacing="0" w:after="0" w:afterAutospacing="0"/>
              <w:jc w:val="both"/>
              <w:textAlignment w:val="baseline"/>
              <w:rPr>
                <w:bCs/>
                <w:sz w:val="20"/>
                <w:szCs w:val="20"/>
              </w:rPr>
            </w:pPr>
          </w:p>
        </w:tc>
        <w:tc>
          <w:tcPr>
            <w:tcW w:w="1030" w:type="dxa"/>
            <w:vMerge/>
            <w:noWrap/>
            <w:vAlign w:val="center"/>
          </w:tcPr>
          <w:p w14:paraId="31AE1D3E" w14:textId="77777777" w:rsidR="0029073B" w:rsidRPr="00EE48FD" w:rsidRDefault="0029073B" w:rsidP="007F3EE9">
            <w:pPr>
              <w:pStyle w:val="box458203"/>
              <w:spacing w:before="0" w:beforeAutospacing="0" w:after="0" w:afterAutospacing="0"/>
              <w:jc w:val="center"/>
              <w:textAlignment w:val="baseline"/>
              <w:rPr>
                <w:b/>
                <w:sz w:val="20"/>
                <w:szCs w:val="20"/>
              </w:rPr>
            </w:pPr>
          </w:p>
        </w:tc>
        <w:tc>
          <w:tcPr>
            <w:tcW w:w="1030" w:type="dxa"/>
            <w:vAlign w:val="center"/>
          </w:tcPr>
          <w:p w14:paraId="7FA4B00E" w14:textId="77777777" w:rsidR="0029073B" w:rsidRPr="00EE48FD" w:rsidRDefault="0029073B" w:rsidP="007F3EE9">
            <w:pPr>
              <w:pStyle w:val="box458203"/>
              <w:spacing w:before="0" w:beforeAutospacing="0" w:after="0" w:afterAutospacing="0"/>
              <w:jc w:val="center"/>
              <w:textAlignment w:val="baseline"/>
              <w:rPr>
                <w:bCs/>
                <w:sz w:val="20"/>
                <w:szCs w:val="20"/>
              </w:rPr>
            </w:pPr>
            <w:r w:rsidRPr="00EE48FD">
              <w:rPr>
                <w:bCs/>
                <w:sz w:val="20"/>
                <w:szCs w:val="20"/>
              </w:rPr>
              <w:t>ZONA VI.</w:t>
            </w:r>
          </w:p>
        </w:tc>
        <w:tc>
          <w:tcPr>
            <w:tcW w:w="5169" w:type="dxa"/>
            <w:vAlign w:val="center"/>
          </w:tcPr>
          <w:p w14:paraId="6C0315CD" w14:textId="77777777" w:rsidR="0029073B" w:rsidRPr="00EE48FD" w:rsidRDefault="0029073B" w:rsidP="004F61BF">
            <w:pPr>
              <w:pStyle w:val="box458203"/>
              <w:spacing w:before="0" w:beforeAutospacing="0" w:after="0" w:afterAutospacing="0"/>
              <w:jc w:val="both"/>
              <w:textAlignment w:val="baseline"/>
              <w:rPr>
                <w:b/>
                <w:sz w:val="20"/>
                <w:szCs w:val="20"/>
              </w:rPr>
            </w:pPr>
            <w:r w:rsidRPr="00EE48FD">
              <w:rPr>
                <w:b/>
                <w:sz w:val="20"/>
                <w:szCs w:val="20"/>
              </w:rPr>
              <w:t xml:space="preserve">Obuhvaća područje naselja Poljane, Veprinac i </w:t>
            </w:r>
            <w:proofErr w:type="spellStart"/>
            <w:r w:rsidRPr="00EE48FD">
              <w:rPr>
                <w:b/>
                <w:sz w:val="20"/>
                <w:szCs w:val="20"/>
              </w:rPr>
              <w:t>Dobreć</w:t>
            </w:r>
            <w:proofErr w:type="spellEnd"/>
          </w:p>
        </w:tc>
        <w:tc>
          <w:tcPr>
            <w:tcW w:w="1134" w:type="dxa"/>
            <w:vAlign w:val="center"/>
          </w:tcPr>
          <w:p w14:paraId="4D68381B" w14:textId="77777777" w:rsidR="0029073B" w:rsidRPr="00EE48FD" w:rsidRDefault="0029073B" w:rsidP="007F3EE9">
            <w:pPr>
              <w:pStyle w:val="box458203"/>
              <w:spacing w:before="0" w:beforeAutospacing="0" w:after="0" w:afterAutospacing="0"/>
              <w:jc w:val="center"/>
              <w:textAlignment w:val="baseline"/>
              <w:rPr>
                <w:b/>
                <w:sz w:val="20"/>
                <w:szCs w:val="20"/>
              </w:rPr>
            </w:pPr>
            <w:r w:rsidRPr="00EE48FD">
              <w:rPr>
                <w:b/>
                <w:sz w:val="20"/>
                <w:szCs w:val="20"/>
              </w:rPr>
              <w:t>0,4</w:t>
            </w:r>
          </w:p>
        </w:tc>
      </w:tr>
      <w:tr w:rsidR="0029073B" w:rsidRPr="00AE6314" w14:paraId="77988116" w14:textId="77777777" w:rsidTr="0029073B">
        <w:trPr>
          <w:trHeight w:val="792"/>
          <w:jc w:val="center"/>
        </w:trPr>
        <w:tc>
          <w:tcPr>
            <w:tcW w:w="772" w:type="dxa"/>
            <w:vMerge/>
            <w:vAlign w:val="center"/>
          </w:tcPr>
          <w:p w14:paraId="74D43F8E" w14:textId="77777777" w:rsidR="0029073B" w:rsidRPr="00EE48FD" w:rsidRDefault="0029073B" w:rsidP="007F3EE9">
            <w:pPr>
              <w:pStyle w:val="box458203"/>
              <w:spacing w:before="0" w:beforeAutospacing="0" w:after="0" w:afterAutospacing="0"/>
              <w:jc w:val="center"/>
              <w:textAlignment w:val="baseline"/>
              <w:rPr>
                <w:bCs/>
                <w:sz w:val="20"/>
                <w:szCs w:val="20"/>
              </w:rPr>
            </w:pPr>
          </w:p>
        </w:tc>
        <w:tc>
          <w:tcPr>
            <w:tcW w:w="6169" w:type="dxa"/>
            <w:vMerge/>
            <w:vAlign w:val="center"/>
          </w:tcPr>
          <w:p w14:paraId="0D973309" w14:textId="77777777" w:rsidR="0029073B" w:rsidRPr="00EE48FD" w:rsidRDefault="0029073B" w:rsidP="007F3EE9">
            <w:pPr>
              <w:pStyle w:val="box458203"/>
              <w:spacing w:before="0" w:beforeAutospacing="0" w:after="0" w:afterAutospacing="0"/>
              <w:jc w:val="both"/>
              <w:textAlignment w:val="baseline"/>
              <w:rPr>
                <w:bCs/>
                <w:sz w:val="20"/>
                <w:szCs w:val="20"/>
              </w:rPr>
            </w:pPr>
          </w:p>
        </w:tc>
        <w:tc>
          <w:tcPr>
            <w:tcW w:w="1030" w:type="dxa"/>
            <w:vMerge/>
            <w:noWrap/>
            <w:vAlign w:val="center"/>
          </w:tcPr>
          <w:p w14:paraId="7C8D8AE6" w14:textId="77777777" w:rsidR="0029073B" w:rsidRPr="00EE48FD" w:rsidRDefault="0029073B" w:rsidP="007F3EE9">
            <w:pPr>
              <w:pStyle w:val="box458203"/>
              <w:spacing w:before="0" w:beforeAutospacing="0" w:after="0" w:afterAutospacing="0"/>
              <w:jc w:val="center"/>
              <w:textAlignment w:val="baseline"/>
              <w:rPr>
                <w:b/>
                <w:sz w:val="20"/>
                <w:szCs w:val="20"/>
              </w:rPr>
            </w:pPr>
          </w:p>
        </w:tc>
        <w:tc>
          <w:tcPr>
            <w:tcW w:w="1030" w:type="dxa"/>
            <w:vAlign w:val="center"/>
          </w:tcPr>
          <w:p w14:paraId="5D16A751" w14:textId="77777777" w:rsidR="0029073B" w:rsidRPr="00EE48FD" w:rsidRDefault="0029073B" w:rsidP="007F3EE9">
            <w:pPr>
              <w:pStyle w:val="box458203"/>
              <w:spacing w:before="0" w:beforeAutospacing="0" w:after="0" w:afterAutospacing="0"/>
              <w:jc w:val="center"/>
              <w:textAlignment w:val="baseline"/>
              <w:rPr>
                <w:bCs/>
                <w:sz w:val="20"/>
                <w:szCs w:val="20"/>
              </w:rPr>
            </w:pPr>
            <w:r w:rsidRPr="00EE48FD">
              <w:rPr>
                <w:bCs/>
                <w:sz w:val="20"/>
                <w:szCs w:val="20"/>
              </w:rPr>
              <w:t>ZONA VI.</w:t>
            </w:r>
          </w:p>
        </w:tc>
        <w:tc>
          <w:tcPr>
            <w:tcW w:w="5169" w:type="dxa"/>
            <w:vAlign w:val="center"/>
          </w:tcPr>
          <w:p w14:paraId="491DC1BD" w14:textId="77777777" w:rsidR="0029073B" w:rsidRPr="00EE48FD" w:rsidRDefault="0029073B" w:rsidP="004F61BF">
            <w:pPr>
              <w:pStyle w:val="box458203"/>
              <w:spacing w:before="0" w:beforeAutospacing="0" w:after="0" w:afterAutospacing="0"/>
              <w:jc w:val="both"/>
              <w:textAlignment w:val="baseline"/>
              <w:rPr>
                <w:b/>
                <w:sz w:val="20"/>
                <w:szCs w:val="20"/>
              </w:rPr>
            </w:pPr>
            <w:r w:rsidRPr="00EE48FD">
              <w:rPr>
                <w:b/>
                <w:sz w:val="20"/>
                <w:szCs w:val="20"/>
              </w:rPr>
              <w:t>Obuhvaća područje naselja Vela i Mala Učka</w:t>
            </w:r>
          </w:p>
        </w:tc>
        <w:tc>
          <w:tcPr>
            <w:tcW w:w="1134" w:type="dxa"/>
            <w:vAlign w:val="center"/>
          </w:tcPr>
          <w:p w14:paraId="159E5E68" w14:textId="77777777" w:rsidR="0029073B" w:rsidRPr="00EE48FD" w:rsidRDefault="0029073B" w:rsidP="007F3EE9">
            <w:pPr>
              <w:pStyle w:val="box458203"/>
              <w:spacing w:before="0" w:beforeAutospacing="0" w:after="0" w:afterAutospacing="0"/>
              <w:jc w:val="center"/>
              <w:textAlignment w:val="baseline"/>
              <w:rPr>
                <w:b/>
                <w:sz w:val="20"/>
                <w:szCs w:val="20"/>
              </w:rPr>
            </w:pPr>
            <w:r w:rsidRPr="00EE48FD">
              <w:rPr>
                <w:b/>
                <w:sz w:val="20"/>
                <w:szCs w:val="20"/>
              </w:rPr>
              <w:t>0,3</w:t>
            </w:r>
          </w:p>
        </w:tc>
      </w:tr>
    </w:tbl>
    <w:p w14:paraId="4E732E52" w14:textId="77777777" w:rsidR="0029073B" w:rsidRPr="00AE6314" w:rsidRDefault="0029073B" w:rsidP="00CD7853">
      <w:pPr>
        <w:shd w:val="clear" w:color="auto" w:fill="FFFFFF"/>
        <w:spacing w:after="0" w:line="240" w:lineRule="auto"/>
        <w:rPr>
          <w:rFonts w:ascii="Times New Roman" w:eastAsia="Times New Roman" w:hAnsi="Times New Roman" w:cs="Times New Roman"/>
          <w:sz w:val="24"/>
          <w:szCs w:val="24"/>
          <w:lang w:eastAsia="en-GB"/>
        </w:rPr>
      </w:pPr>
    </w:p>
    <w:sectPr w:rsidR="0029073B" w:rsidRPr="00AE6314" w:rsidSect="0029073B">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A14C2"/>
    <w:multiLevelType w:val="hybridMultilevel"/>
    <w:tmpl w:val="A44432B2"/>
    <w:lvl w:ilvl="0" w:tplc="D7B825F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436DF"/>
    <w:multiLevelType w:val="hybridMultilevel"/>
    <w:tmpl w:val="4DC4CD56"/>
    <w:lvl w:ilvl="0" w:tplc="A4DACC7C">
      <w:start w:val="1"/>
      <w:numFmt w:val="decimal"/>
      <w:lvlText w:val="(%1)"/>
      <w:lvlJc w:val="left"/>
      <w:pPr>
        <w:ind w:left="39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1E07A7B"/>
    <w:multiLevelType w:val="hybridMultilevel"/>
    <w:tmpl w:val="CC86C988"/>
    <w:lvl w:ilvl="0" w:tplc="F57E99A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DA1729"/>
    <w:multiLevelType w:val="hybridMultilevel"/>
    <w:tmpl w:val="CDEC7F7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F4D7677"/>
    <w:multiLevelType w:val="hybridMultilevel"/>
    <w:tmpl w:val="D9264822"/>
    <w:lvl w:ilvl="0" w:tplc="C2C46756">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853408B"/>
    <w:multiLevelType w:val="hybridMultilevel"/>
    <w:tmpl w:val="73948478"/>
    <w:lvl w:ilvl="0" w:tplc="5DE21734">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27462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9897736">
    <w:abstractNumId w:val="4"/>
  </w:num>
  <w:num w:numId="3" w16cid:durableId="659239603">
    <w:abstractNumId w:val="5"/>
  </w:num>
  <w:num w:numId="4" w16cid:durableId="1926452965">
    <w:abstractNumId w:val="1"/>
  </w:num>
  <w:num w:numId="5" w16cid:durableId="1712225564">
    <w:abstractNumId w:val="2"/>
  </w:num>
  <w:num w:numId="6" w16cid:durableId="476384549">
    <w:abstractNumId w:val="0"/>
  </w:num>
  <w:num w:numId="7" w16cid:durableId="873110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7987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432"/>
    <w:rsid w:val="00006F58"/>
    <w:rsid w:val="00014102"/>
    <w:rsid w:val="00026723"/>
    <w:rsid w:val="00036D27"/>
    <w:rsid w:val="000A3F04"/>
    <w:rsid w:val="000C1FD6"/>
    <w:rsid w:val="000F04CD"/>
    <w:rsid w:val="000F77CC"/>
    <w:rsid w:val="00102B0D"/>
    <w:rsid w:val="001400BF"/>
    <w:rsid w:val="00155ABE"/>
    <w:rsid w:val="00170927"/>
    <w:rsid w:val="001828B8"/>
    <w:rsid w:val="00187A9E"/>
    <w:rsid w:val="001B30F0"/>
    <w:rsid w:val="001B5C3E"/>
    <w:rsid w:val="00211833"/>
    <w:rsid w:val="002175AE"/>
    <w:rsid w:val="0022735C"/>
    <w:rsid w:val="0024263F"/>
    <w:rsid w:val="002454C9"/>
    <w:rsid w:val="002526B8"/>
    <w:rsid w:val="00262131"/>
    <w:rsid w:val="0029073B"/>
    <w:rsid w:val="002A59A2"/>
    <w:rsid w:val="002A6174"/>
    <w:rsid w:val="002C0007"/>
    <w:rsid w:val="003004C3"/>
    <w:rsid w:val="003307C8"/>
    <w:rsid w:val="00350A7E"/>
    <w:rsid w:val="00351698"/>
    <w:rsid w:val="003856D4"/>
    <w:rsid w:val="003D5C5F"/>
    <w:rsid w:val="003E544D"/>
    <w:rsid w:val="003F26FA"/>
    <w:rsid w:val="00427518"/>
    <w:rsid w:val="004A55DC"/>
    <w:rsid w:val="004B691D"/>
    <w:rsid w:val="004C423B"/>
    <w:rsid w:val="004C4AB3"/>
    <w:rsid w:val="004E5A15"/>
    <w:rsid w:val="004E6FE1"/>
    <w:rsid w:val="004F61BF"/>
    <w:rsid w:val="004F7846"/>
    <w:rsid w:val="00535372"/>
    <w:rsid w:val="00536973"/>
    <w:rsid w:val="005733B9"/>
    <w:rsid w:val="00581027"/>
    <w:rsid w:val="005929BC"/>
    <w:rsid w:val="005B65DF"/>
    <w:rsid w:val="005D0F08"/>
    <w:rsid w:val="005E06AC"/>
    <w:rsid w:val="0060512E"/>
    <w:rsid w:val="0061033B"/>
    <w:rsid w:val="00610502"/>
    <w:rsid w:val="00613063"/>
    <w:rsid w:val="00633FD5"/>
    <w:rsid w:val="0065046E"/>
    <w:rsid w:val="0066032F"/>
    <w:rsid w:val="0066035F"/>
    <w:rsid w:val="00665FED"/>
    <w:rsid w:val="00676888"/>
    <w:rsid w:val="00682B1D"/>
    <w:rsid w:val="006B0D67"/>
    <w:rsid w:val="006F6236"/>
    <w:rsid w:val="0070767B"/>
    <w:rsid w:val="007201A5"/>
    <w:rsid w:val="007261A2"/>
    <w:rsid w:val="007372E5"/>
    <w:rsid w:val="00754D9A"/>
    <w:rsid w:val="007B2E74"/>
    <w:rsid w:val="007D2FC5"/>
    <w:rsid w:val="007E4910"/>
    <w:rsid w:val="007E5BBC"/>
    <w:rsid w:val="007F2023"/>
    <w:rsid w:val="007F5B23"/>
    <w:rsid w:val="00803D95"/>
    <w:rsid w:val="00804004"/>
    <w:rsid w:val="00804569"/>
    <w:rsid w:val="00805527"/>
    <w:rsid w:val="00817256"/>
    <w:rsid w:val="0083053C"/>
    <w:rsid w:val="00847590"/>
    <w:rsid w:val="00847E3B"/>
    <w:rsid w:val="00880206"/>
    <w:rsid w:val="008A1113"/>
    <w:rsid w:val="008B2AFC"/>
    <w:rsid w:val="008B400A"/>
    <w:rsid w:val="008C0929"/>
    <w:rsid w:val="008C2837"/>
    <w:rsid w:val="008D20CD"/>
    <w:rsid w:val="008F05CE"/>
    <w:rsid w:val="008F2CEC"/>
    <w:rsid w:val="0091069E"/>
    <w:rsid w:val="009107F1"/>
    <w:rsid w:val="00910847"/>
    <w:rsid w:val="00912239"/>
    <w:rsid w:val="00936370"/>
    <w:rsid w:val="0095230C"/>
    <w:rsid w:val="009529EF"/>
    <w:rsid w:val="009532C1"/>
    <w:rsid w:val="00980251"/>
    <w:rsid w:val="009833A7"/>
    <w:rsid w:val="0099411D"/>
    <w:rsid w:val="00994225"/>
    <w:rsid w:val="00997604"/>
    <w:rsid w:val="009A381F"/>
    <w:rsid w:val="009A66C8"/>
    <w:rsid w:val="009E29F2"/>
    <w:rsid w:val="009F31CE"/>
    <w:rsid w:val="009F7D6D"/>
    <w:rsid w:val="00A05DD6"/>
    <w:rsid w:val="00A10D84"/>
    <w:rsid w:val="00A31BBA"/>
    <w:rsid w:val="00A35D98"/>
    <w:rsid w:val="00A378A8"/>
    <w:rsid w:val="00A555A7"/>
    <w:rsid w:val="00A73F27"/>
    <w:rsid w:val="00AA6B5A"/>
    <w:rsid w:val="00AB7F6E"/>
    <w:rsid w:val="00AC16FB"/>
    <w:rsid w:val="00AE6314"/>
    <w:rsid w:val="00B03921"/>
    <w:rsid w:val="00B10255"/>
    <w:rsid w:val="00B22353"/>
    <w:rsid w:val="00B4725D"/>
    <w:rsid w:val="00B73291"/>
    <w:rsid w:val="00B743F3"/>
    <w:rsid w:val="00B865DD"/>
    <w:rsid w:val="00BB3A97"/>
    <w:rsid w:val="00C21A26"/>
    <w:rsid w:val="00C22352"/>
    <w:rsid w:val="00C247BA"/>
    <w:rsid w:val="00C304F9"/>
    <w:rsid w:val="00C50AEF"/>
    <w:rsid w:val="00C53D8B"/>
    <w:rsid w:val="00C652E3"/>
    <w:rsid w:val="00C6672C"/>
    <w:rsid w:val="00C70C23"/>
    <w:rsid w:val="00C87119"/>
    <w:rsid w:val="00C87455"/>
    <w:rsid w:val="00CD7853"/>
    <w:rsid w:val="00CE01D3"/>
    <w:rsid w:val="00CE09E5"/>
    <w:rsid w:val="00CE0D99"/>
    <w:rsid w:val="00D23DCF"/>
    <w:rsid w:val="00D23EAB"/>
    <w:rsid w:val="00D35994"/>
    <w:rsid w:val="00D44449"/>
    <w:rsid w:val="00D76003"/>
    <w:rsid w:val="00D96479"/>
    <w:rsid w:val="00DC519F"/>
    <w:rsid w:val="00DD480C"/>
    <w:rsid w:val="00E13108"/>
    <w:rsid w:val="00E27B6C"/>
    <w:rsid w:val="00E359C5"/>
    <w:rsid w:val="00E50ECB"/>
    <w:rsid w:val="00E600D2"/>
    <w:rsid w:val="00E67B09"/>
    <w:rsid w:val="00E80AA4"/>
    <w:rsid w:val="00E83091"/>
    <w:rsid w:val="00E87A1A"/>
    <w:rsid w:val="00E9392E"/>
    <w:rsid w:val="00E9657B"/>
    <w:rsid w:val="00EB2E8A"/>
    <w:rsid w:val="00ED5C1E"/>
    <w:rsid w:val="00EE48FD"/>
    <w:rsid w:val="00F02CAE"/>
    <w:rsid w:val="00F13BCC"/>
    <w:rsid w:val="00F47B54"/>
    <w:rsid w:val="00F55176"/>
    <w:rsid w:val="00F56BBD"/>
    <w:rsid w:val="00F61504"/>
    <w:rsid w:val="00F7103F"/>
    <w:rsid w:val="00F769C4"/>
    <w:rsid w:val="00F90998"/>
    <w:rsid w:val="00FA12A2"/>
    <w:rsid w:val="00FA29EA"/>
    <w:rsid w:val="00FB2921"/>
    <w:rsid w:val="00FD0205"/>
    <w:rsid w:val="00FD7432"/>
    <w:rsid w:val="00FF1AE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89A20"/>
  <w15:chartTrackingRefBased/>
  <w15:docId w15:val="{277F0EB8-70EF-44AA-A618-E77579A6C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432"/>
    <w:pPr>
      <w:spacing w:line="256" w:lineRule="auto"/>
    </w:pPr>
    <w:rPr>
      <w:kern w:val="0"/>
      <w:lang w:val="en-GB"/>
      <w14:ligatures w14:val="none"/>
    </w:rPr>
  </w:style>
  <w:style w:type="paragraph" w:styleId="Naslov1">
    <w:name w:val="heading 1"/>
    <w:basedOn w:val="Normal"/>
    <w:next w:val="Normal"/>
    <w:link w:val="Naslov1Char"/>
    <w:uiPriority w:val="9"/>
    <w:qFormat/>
    <w:rsid w:val="00FD74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FD74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FD7432"/>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FD743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FD7432"/>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FD7432"/>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FD7432"/>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FD7432"/>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FD7432"/>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D7432"/>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FD7432"/>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FD7432"/>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FD7432"/>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FD7432"/>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FD743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D743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D743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D7432"/>
    <w:rPr>
      <w:rFonts w:eastAsiaTheme="majorEastAsia" w:cstheme="majorBidi"/>
      <w:color w:val="272727" w:themeColor="text1" w:themeTint="D8"/>
    </w:rPr>
  </w:style>
  <w:style w:type="paragraph" w:styleId="Naslov">
    <w:name w:val="Title"/>
    <w:basedOn w:val="Normal"/>
    <w:next w:val="Normal"/>
    <w:link w:val="NaslovChar"/>
    <w:uiPriority w:val="10"/>
    <w:qFormat/>
    <w:rsid w:val="00FD74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D743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D743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FD743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D7432"/>
    <w:pPr>
      <w:spacing w:before="160"/>
      <w:jc w:val="center"/>
    </w:pPr>
    <w:rPr>
      <w:i/>
      <w:iCs/>
      <w:color w:val="404040" w:themeColor="text1" w:themeTint="BF"/>
    </w:rPr>
  </w:style>
  <w:style w:type="character" w:customStyle="1" w:styleId="CitatChar">
    <w:name w:val="Citat Char"/>
    <w:basedOn w:val="Zadanifontodlomka"/>
    <w:link w:val="Citat"/>
    <w:uiPriority w:val="29"/>
    <w:rsid w:val="00FD7432"/>
    <w:rPr>
      <w:i/>
      <w:iCs/>
      <w:color w:val="404040" w:themeColor="text1" w:themeTint="BF"/>
    </w:rPr>
  </w:style>
  <w:style w:type="paragraph" w:styleId="Odlomakpopisa">
    <w:name w:val="List Paragraph"/>
    <w:basedOn w:val="Normal"/>
    <w:uiPriority w:val="34"/>
    <w:qFormat/>
    <w:rsid w:val="00FD7432"/>
    <w:pPr>
      <w:ind w:left="720"/>
      <w:contextualSpacing/>
    </w:pPr>
  </w:style>
  <w:style w:type="character" w:styleId="Jakoisticanje">
    <w:name w:val="Intense Emphasis"/>
    <w:basedOn w:val="Zadanifontodlomka"/>
    <w:uiPriority w:val="21"/>
    <w:qFormat/>
    <w:rsid w:val="00FD7432"/>
    <w:rPr>
      <w:i/>
      <w:iCs/>
      <w:color w:val="0F4761" w:themeColor="accent1" w:themeShade="BF"/>
    </w:rPr>
  </w:style>
  <w:style w:type="paragraph" w:styleId="Naglaencitat">
    <w:name w:val="Intense Quote"/>
    <w:basedOn w:val="Normal"/>
    <w:next w:val="Normal"/>
    <w:link w:val="NaglaencitatChar"/>
    <w:uiPriority w:val="30"/>
    <w:qFormat/>
    <w:rsid w:val="00FD74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FD7432"/>
    <w:rPr>
      <w:i/>
      <w:iCs/>
      <w:color w:val="0F4761" w:themeColor="accent1" w:themeShade="BF"/>
    </w:rPr>
  </w:style>
  <w:style w:type="character" w:styleId="Istaknutareferenca">
    <w:name w:val="Intense Reference"/>
    <w:basedOn w:val="Zadanifontodlomka"/>
    <w:uiPriority w:val="32"/>
    <w:qFormat/>
    <w:rsid w:val="00FD7432"/>
    <w:rPr>
      <w:b/>
      <w:bCs/>
      <w:smallCaps/>
      <w:color w:val="0F4761" w:themeColor="accent1" w:themeShade="BF"/>
      <w:spacing w:val="5"/>
    </w:rPr>
  </w:style>
  <w:style w:type="paragraph" w:styleId="StandardWeb">
    <w:name w:val="Normal (Web)"/>
    <w:basedOn w:val="Normal"/>
    <w:uiPriority w:val="99"/>
    <w:unhideWhenUsed/>
    <w:rsid w:val="00FD74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ekstkomentara">
    <w:name w:val="annotation text"/>
    <w:basedOn w:val="Normal"/>
    <w:link w:val="TekstkomentaraChar"/>
    <w:uiPriority w:val="99"/>
    <w:unhideWhenUsed/>
    <w:rsid w:val="00FD7432"/>
    <w:pPr>
      <w:spacing w:line="240" w:lineRule="auto"/>
    </w:pPr>
    <w:rPr>
      <w:sz w:val="20"/>
      <w:szCs w:val="20"/>
    </w:rPr>
  </w:style>
  <w:style w:type="character" w:customStyle="1" w:styleId="TekstkomentaraChar">
    <w:name w:val="Tekst komentara Char"/>
    <w:basedOn w:val="Zadanifontodlomka"/>
    <w:link w:val="Tekstkomentara"/>
    <w:uiPriority w:val="99"/>
    <w:rsid w:val="00FD7432"/>
    <w:rPr>
      <w:kern w:val="0"/>
      <w:sz w:val="20"/>
      <w:szCs w:val="20"/>
      <w:lang w:val="en-GB"/>
      <w14:ligatures w14:val="none"/>
    </w:rPr>
  </w:style>
  <w:style w:type="character" w:styleId="Referencakomentara">
    <w:name w:val="annotation reference"/>
    <w:basedOn w:val="Zadanifontodlomka"/>
    <w:uiPriority w:val="99"/>
    <w:semiHidden/>
    <w:unhideWhenUsed/>
    <w:rsid w:val="00FD7432"/>
    <w:rPr>
      <w:sz w:val="16"/>
      <w:szCs w:val="16"/>
    </w:rPr>
  </w:style>
  <w:style w:type="table" w:styleId="Reetkatablice">
    <w:name w:val="Table Grid"/>
    <w:basedOn w:val="Obinatablica"/>
    <w:rsid w:val="00E67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ara">
    <w:name w:val="annotation subject"/>
    <w:basedOn w:val="Tekstkomentara"/>
    <w:next w:val="Tekstkomentara"/>
    <w:link w:val="PredmetkomentaraChar"/>
    <w:uiPriority w:val="99"/>
    <w:semiHidden/>
    <w:unhideWhenUsed/>
    <w:rsid w:val="00E87A1A"/>
    <w:rPr>
      <w:b/>
      <w:bCs/>
    </w:rPr>
  </w:style>
  <w:style w:type="character" w:customStyle="1" w:styleId="PredmetkomentaraChar">
    <w:name w:val="Predmet komentara Char"/>
    <w:basedOn w:val="TekstkomentaraChar"/>
    <w:link w:val="Predmetkomentara"/>
    <w:uiPriority w:val="99"/>
    <w:semiHidden/>
    <w:rsid w:val="00E87A1A"/>
    <w:rPr>
      <w:b/>
      <w:bCs/>
      <w:kern w:val="0"/>
      <w:sz w:val="20"/>
      <w:szCs w:val="20"/>
      <w:lang w:val="en-GB"/>
      <w14:ligatures w14:val="none"/>
    </w:rPr>
  </w:style>
  <w:style w:type="paragraph" w:customStyle="1" w:styleId="box458203">
    <w:name w:val="box_458203"/>
    <w:basedOn w:val="Normal"/>
    <w:rsid w:val="00FF1AE1"/>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table" w:customStyle="1" w:styleId="Reetkatablice1">
    <w:name w:val="Rešetka tablice1"/>
    <w:basedOn w:val="Obinatablica"/>
    <w:next w:val="Reetkatablice"/>
    <w:rsid w:val="008C2837"/>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5961</Words>
  <Characters>33027</Characters>
  <Application>Microsoft Office Word</Application>
  <DocSecurity>0</DocSecurity>
  <Lines>892</Lines>
  <Paragraphs>453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Randić</dc:creator>
  <cp:keywords/>
  <dc:description/>
  <cp:lastModifiedBy>Francesca Gržinić Kuljanac</cp:lastModifiedBy>
  <cp:revision>2</cp:revision>
  <dcterms:created xsi:type="dcterms:W3CDTF">2025-10-24T10:09:00Z</dcterms:created>
  <dcterms:modified xsi:type="dcterms:W3CDTF">2025-10-24T10:09:00Z</dcterms:modified>
</cp:coreProperties>
</file>