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A30E" w14:textId="77777777" w:rsidR="00DF468F" w:rsidRDefault="00AC7B29">
      <w:pPr>
        <w:spacing w:before="81" w:line="276" w:lineRule="auto"/>
        <w:ind w:left="2690" w:right="1089" w:hanging="1649"/>
        <w:rPr>
          <w:b/>
          <w:sz w:val="36"/>
        </w:rPr>
      </w:pPr>
      <w:r>
        <w:rPr>
          <w:b/>
          <w:sz w:val="36"/>
        </w:rPr>
        <w:t xml:space="preserve">ODGODA PLAĆANJA,OBROČNA OTPLATA I OTPIS DUGOVA – </w:t>
      </w:r>
      <w:r>
        <w:rPr>
          <w:b/>
          <w:sz w:val="36"/>
          <w:u w:val="thick"/>
        </w:rPr>
        <w:t>NEJAVNA DAVANJA</w:t>
      </w:r>
    </w:p>
    <w:p w14:paraId="58F6F925" w14:textId="77777777" w:rsidR="001E1492" w:rsidRDefault="001E1492" w:rsidP="001E1492">
      <w:pPr>
        <w:pStyle w:val="BodyText"/>
        <w:spacing w:line="276" w:lineRule="auto"/>
        <w:ind w:left="142" w:right="274" w:firstLine="0"/>
        <w:jc w:val="both"/>
      </w:pPr>
    </w:p>
    <w:p w14:paraId="15C0EEF7" w14:textId="77777777" w:rsidR="001E1492" w:rsidRDefault="001E1492" w:rsidP="001E1492">
      <w:pPr>
        <w:pStyle w:val="BodyText"/>
        <w:spacing w:line="276" w:lineRule="auto"/>
        <w:ind w:left="142" w:right="274" w:firstLine="0"/>
        <w:jc w:val="both"/>
      </w:pPr>
    </w:p>
    <w:p w14:paraId="259C2A23" w14:textId="6DA9941E" w:rsidR="001E1492" w:rsidRPr="001E1492" w:rsidRDefault="001E1492" w:rsidP="001E1492">
      <w:pPr>
        <w:pStyle w:val="BodyText"/>
        <w:tabs>
          <w:tab w:val="left" w:pos="10632"/>
        </w:tabs>
        <w:spacing w:line="276" w:lineRule="auto"/>
        <w:ind w:left="220" w:right="274" w:firstLine="500"/>
        <w:jc w:val="both"/>
      </w:pPr>
      <w:r>
        <w:tab/>
      </w:r>
      <w:r w:rsidRPr="001E1492">
        <w:rPr>
          <w:b/>
        </w:rPr>
        <w:t xml:space="preserve">Uredbom o kriterijima, mjerilima i postupku za odgodu plaćanja, obročnu otplatu duga te prodaju, otpis ili djelomičan otpis potraživanja </w:t>
      </w:r>
      <w:r>
        <w:t>(Narodne novine, broj 52/1</w:t>
      </w:r>
      <w:r w:rsidR="00607FEB">
        <w:t>3,</w:t>
      </w:r>
      <w:r>
        <w:t xml:space="preserve"> 94/14</w:t>
      </w:r>
      <w:r w:rsidR="00607FEB">
        <w:t xml:space="preserve"> i 144/21</w:t>
      </w:r>
      <w:r>
        <w:t>)</w:t>
      </w:r>
      <w:r w:rsidRPr="001E1492">
        <w:t xml:space="preserve"> </w:t>
      </w:r>
      <w:r>
        <w:t>koja je donesena na osnovi Zakona o proračunu utvrđeni su kriteriji,</w:t>
      </w:r>
      <w:r w:rsidRPr="001E1492">
        <w:t xml:space="preserve"> </w:t>
      </w:r>
      <w:r>
        <w:t>mjerila i postupak za odgodu plaćanja, obročnu otplatu duga te prodaju, otpis ili djelomičan otpis</w:t>
      </w:r>
      <w:r w:rsidRPr="001E1492">
        <w:t xml:space="preserve"> potraživanja države i jedinica lokalne i područne (regionalne) samouprave, a primjenjuje se na dužnika fizičku osobu i dužnika pravnu osobu. Pored toga</w:t>
      </w:r>
      <w:r>
        <w:t>,</w:t>
      </w:r>
      <w:r w:rsidRPr="001E1492">
        <w:t xml:space="preserve"> Grad Opatija je svojom Odlukom</w:t>
      </w:r>
      <w:r w:rsidR="0096589E">
        <w:t xml:space="preserve"> o izvršavanju Proračuna za 202</w:t>
      </w:r>
      <w:r w:rsidR="00A06FB5">
        <w:t>6</w:t>
      </w:r>
      <w:r w:rsidRPr="001E1492">
        <w:t>.</w:t>
      </w:r>
      <w:r>
        <w:t xml:space="preserve"> godinu </w:t>
      </w:r>
      <w:r w:rsidR="0096589E">
        <w:t xml:space="preserve">(Službene novine </w:t>
      </w:r>
      <w:r w:rsidR="00AC4AEC">
        <w:t>Grada Opatije</w:t>
      </w:r>
      <w:r w:rsidR="0096589E">
        <w:t xml:space="preserve">, broj </w:t>
      </w:r>
      <w:r w:rsidR="00AC4AEC">
        <w:t>1</w:t>
      </w:r>
      <w:r w:rsidR="00A06FB5">
        <w:t>6/25</w:t>
      </w:r>
      <w:r w:rsidR="00977AFC">
        <w:t xml:space="preserve">) </w:t>
      </w:r>
      <w:r w:rsidRPr="001E1492">
        <w:t>uredio dio postupanja koji nije uređen naved</w:t>
      </w:r>
      <w:r w:rsidR="005545AF">
        <w:t>e</w:t>
      </w:r>
      <w:r w:rsidRPr="001E1492">
        <w:t>nim propisima.</w:t>
      </w:r>
    </w:p>
    <w:p w14:paraId="7309413A" w14:textId="77777777" w:rsidR="001E1492" w:rsidRDefault="001E1492" w:rsidP="001E1492">
      <w:pPr>
        <w:pStyle w:val="BodyText"/>
        <w:tabs>
          <w:tab w:val="left" w:pos="10632"/>
        </w:tabs>
        <w:spacing w:line="276" w:lineRule="auto"/>
        <w:ind w:left="142" w:right="274" w:firstLine="142"/>
        <w:jc w:val="both"/>
      </w:pPr>
    </w:p>
    <w:p w14:paraId="451836F8" w14:textId="0BC9F370" w:rsidR="00DF468F" w:rsidRDefault="00AC7B29" w:rsidP="00AC7B29">
      <w:pPr>
        <w:pStyle w:val="Heading1"/>
        <w:ind w:firstLine="0"/>
        <w:rPr>
          <w:b w:val="0"/>
        </w:rPr>
      </w:pPr>
      <w:r>
        <w:rPr>
          <w:b w:val="0"/>
        </w:rPr>
        <w:t xml:space="preserve">Odredbe Uredbe </w:t>
      </w:r>
      <w:r>
        <w:rPr>
          <w:u w:val="thick"/>
        </w:rPr>
        <w:t>odnose se</w:t>
      </w:r>
      <w:r>
        <w:t xml:space="preserve"> na dugove i potraživanja s osnove sljedećih davanja prema Gradu Opatija </w:t>
      </w:r>
      <w:r>
        <w:rPr>
          <w:b w:val="0"/>
        </w:rPr>
        <w:t>i to:</w:t>
      </w:r>
    </w:p>
    <w:tbl>
      <w:tblPr>
        <w:tblW w:w="0" w:type="auto"/>
        <w:tblInd w:w="2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0"/>
      </w:tblGrid>
      <w:tr w:rsidR="00DF468F" w14:paraId="54630BD6" w14:textId="77777777">
        <w:trPr>
          <w:trHeight w:val="266"/>
        </w:trPr>
        <w:tc>
          <w:tcPr>
            <w:tcW w:w="5870" w:type="dxa"/>
          </w:tcPr>
          <w:p w14:paraId="4D01AD52" w14:textId="77777777" w:rsidR="00DF468F" w:rsidRDefault="00AC7B29">
            <w:pPr>
              <w:pStyle w:val="TableParagraph"/>
              <w:spacing w:line="246" w:lineRule="exact"/>
              <w:ind w:left="555" w:right="549"/>
              <w:jc w:val="center"/>
            </w:pPr>
            <w:r>
              <w:t>Zakupnina</w:t>
            </w:r>
          </w:p>
        </w:tc>
      </w:tr>
      <w:tr w:rsidR="00DF468F" w14:paraId="3F04BC17" w14:textId="77777777">
        <w:trPr>
          <w:trHeight w:val="263"/>
        </w:trPr>
        <w:tc>
          <w:tcPr>
            <w:tcW w:w="5870" w:type="dxa"/>
          </w:tcPr>
          <w:p w14:paraId="76CA03E7" w14:textId="77777777" w:rsidR="00DF468F" w:rsidRDefault="00AC7B29">
            <w:pPr>
              <w:pStyle w:val="TableParagraph"/>
              <w:spacing w:line="244" w:lineRule="exact"/>
              <w:ind w:left="555" w:right="549"/>
              <w:jc w:val="center"/>
            </w:pPr>
            <w:r>
              <w:t>Stanarina</w:t>
            </w:r>
          </w:p>
        </w:tc>
      </w:tr>
      <w:tr w:rsidR="00DF468F" w14:paraId="16F41D0C" w14:textId="77777777">
        <w:trPr>
          <w:trHeight w:val="266"/>
        </w:trPr>
        <w:tc>
          <w:tcPr>
            <w:tcW w:w="5870" w:type="dxa"/>
          </w:tcPr>
          <w:p w14:paraId="33B08BE8" w14:textId="77777777" w:rsidR="00DF468F" w:rsidRDefault="00AC7B29">
            <w:pPr>
              <w:pStyle w:val="TableParagraph"/>
              <w:spacing w:before="1" w:line="246" w:lineRule="exact"/>
              <w:ind w:left="555" w:right="549"/>
              <w:jc w:val="center"/>
            </w:pPr>
            <w:r>
              <w:t>Najam prostora</w:t>
            </w:r>
          </w:p>
        </w:tc>
      </w:tr>
      <w:tr w:rsidR="00DF468F" w14:paraId="7BD9E352" w14:textId="77777777">
        <w:trPr>
          <w:trHeight w:val="265"/>
        </w:trPr>
        <w:tc>
          <w:tcPr>
            <w:tcW w:w="5870" w:type="dxa"/>
          </w:tcPr>
          <w:p w14:paraId="2E0B2010" w14:textId="77777777" w:rsidR="00DF468F" w:rsidRDefault="00AC7B29">
            <w:pPr>
              <w:pStyle w:val="TableParagraph"/>
              <w:spacing w:line="246" w:lineRule="exact"/>
              <w:ind w:left="552" w:right="549"/>
              <w:jc w:val="center"/>
            </w:pPr>
            <w:r>
              <w:t>Usluge tekućeg održavanja</w:t>
            </w:r>
          </w:p>
        </w:tc>
      </w:tr>
      <w:tr w:rsidR="00DF468F" w14:paraId="2A16B6B7" w14:textId="77777777">
        <w:trPr>
          <w:trHeight w:val="266"/>
        </w:trPr>
        <w:tc>
          <w:tcPr>
            <w:tcW w:w="5870" w:type="dxa"/>
          </w:tcPr>
          <w:p w14:paraId="70F2B500" w14:textId="77777777" w:rsidR="00DF468F" w:rsidRDefault="00AC7B29">
            <w:pPr>
              <w:pStyle w:val="TableParagraph"/>
              <w:spacing w:line="246" w:lineRule="exact"/>
              <w:ind w:left="556" w:right="549"/>
              <w:jc w:val="center"/>
            </w:pPr>
            <w:r>
              <w:t>Koncesije (osim koncesija na pomorskom dobru)</w:t>
            </w:r>
          </w:p>
        </w:tc>
      </w:tr>
      <w:tr w:rsidR="00DF468F" w14:paraId="09A299E2" w14:textId="77777777">
        <w:trPr>
          <w:trHeight w:val="265"/>
        </w:trPr>
        <w:tc>
          <w:tcPr>
            <w:tcW w:w="5870" w:type="dxa"/>
          </w:tcPr>
          <w:p w14:paraId="446C4BBE" w14:textId="77777777" w:rsidR="00DF468F" w:rsidRDefault="001E1492">
            <w:pPr>
              <w:pStyle w:val="TableParagraph"/>
              <w:spacing w:line="246" w:lineRule="exact"/>
              <w:ind w:left="554" w:right="549"/>
              <w:jc w:val="center"/>
            </w:pPr>
            <w:r>
              <w:t>Oglašavanje u Listu Opatija...</w:t>
            </w:r>
          </w:p>
        </w:tc>
      </w:tr>
    </w:tbl>
    <w:p w14:paraId="3DF62F1F" w14:textId="77777777" w:rsidR="00DF468F" w:rsidRDefault="00DF468F">
      <w:pPr>
        <w:pStyle w:val="BodyText"/>
        <w:spacing w:before="8"/>
        <w:ind w:left="0" w:firstLine="0"/>
        <w:rPr>
          <w:sz w:val="21"/>
        </w:rPr>
      </w:pPr>
    </w:p>
    <w:p w14:paraId="287A7EB2" w14:textId="77777777" w:rsidR="00DF468F" w:rsidRDefault="00AC7B29">
      <w:pPr>
        <w:spacing w:before="1"/>
        <w:ind w:left="928"/>
      </w:pPr>
      <w:r>
        <w:rPr>
          <w:b/>
        </w:rPr>
        <w:t>Uredbom je propisana mogućnost</w:t>
      </w:r>
      <w:r>
        <w:t>:</w:t>
      </w:r>
    </w:p>
    <w:p w14:paraId="7E5B429C" w14:textId="77777777" w:rsidR="00DF468F" w:rsidRDefault="00AC7B29">
      <w:pPr>
        <w:pStyle w:val="ListParagraph"/>
        <w:numPr>
          <w:ilvl w:val="0"/>
          <w:numId w:val="7"/>
        </w:numPr>
        <w:tabs>
          <w:tab w:val="left" w:pos="1078"/>
        </w:tabs>
        <w:spacing w:before="41"/>
      </w:pPr>
      <w:r>
        <w:t>ODGODA PLAĆANJA I OBROČNA OTPLATA</w:t>
      </w:r>
      <w:r>
        <w:rPr>
          <w:spacing w:val="-6"/>
        </w:rPr>
        <w:t xml:space="preserve"> </w:t>
      </w:r>
      <w:r>
        <w:t>DUGA</w:t>
      </w:r>
    </w:p>
    <w:p w14:paraId="0E17539C" w14:textId="77777777" w:rsidR="00DF468F" w:rsidRDefault="00AC7B29">
      <w:pPr>
        <w:pStyle w:val="ListParagraph"/>
        <w:numPr>
          <w:ilvl w:val="0"/>
          <w:numId w:val="7"/>
        </w:numPr>
        <w:tabs>
          <w:tab w:val="left" w:pos="1078"/>
        </w:tabs>
        <w:spacing w:before="39"/>
      </w:pPr>
      <w:r>
        <w:t>OTPIS ILI DJELOMIČAN OTPIS</w:t>
      </w:r>
      <w:r>
        <w:rPr>
          <w:spacing w:val="-8"/>
        </w:rPr>
        <w:t xml:space="preserve"> </w:t>
      </w:r>
      <w:r>
        <w:t>POTRAŽIVANJA</w:t>
      </w:r>
    </w:p>
    <w:p w14:paraId="2FEF41BE" w14:textId="7623A6A6" w:rsidR="00DF468F" w:rsidRDefault="00AC7B29">
      <w:pPr>
        <w:pStyle w:val="ListParagraph"/>
        <w:numPr>
          <w:ilvl w:val="0"/>
          <w:numId w:val="7"/>
        </w:numPr>
        <w:tabs>
          <w:tab w:val="left" w:pos="1078"/>
        </w:tabs>
        <w:spacing w:before="40"/>
      </w:pPr>
      <w:r>
        <w:t>OTPISA KAMATA ukoliko se dosp</w:t>
      </w:r>
      <w:r w:rsidR="00A06FB5">
        <w:t>j</w:t>
      </w:r>
      <w:r>
        <w:t>ela glavnica duga plati u cijelosti</w:t>
      </w:r>
      <w:r>
        <w:rPr>
          <w:spacing w:val="-13"/>
        </w:rPr>
        <w:t xml:space="preserve"> </w:t>
      </w:r>
      <w:r>
        <w:t>jednokratno</w:t>
      </w:r>
    </w:p>
    <w:p w14:paraId="08B9E719" w14:textId="77777777" w:rsidR="00DF468F" w:rsidRDefault="00DF468F">
      <w:pPr>
        <w:pStyle w:val="BodyText"/>
        <w:spacing w:before="10"/>
        <w:ind w:left="0" w:firstLine="0"/>
        <w:rPr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888"/>
        <w:gridCol w:w="5531"/>
      </w:tblGrid>
      <w:tr w:rsidR="00DF468F" w14:paraId="2A409EF4" w14:textId="77777777">
        <w:trPr>
          <w:trHeight w:val="530"/>
        </w:trPr>
        <w:tc>
          <w:tcPr>
            <w:tcW w:w="2324" w:type="dxa"/>
          </w:tcPr>
          <w:p w14:paraId="5EE37216" w14:textId="77777777" w:rsidR="00DF468F" w:rsidRDefault="00AC7B29">
            <w:pPr>
              <w:pStyle w:val="TableParagraph"/>
              <w:spacing w:line="264" w:lineRule="exact"/>
              <w:ind w:left="273"/>
            </w:pPr>
            <w:r>
              <w:t>VRSTA POSTUPKA</w:t>
            </w:r>
          </w:p>
        </w:tc>
        <w:tc>
          <w:tcPr>
            <w:tcW w:w="2888" w:type="dxa"/>
          </w:tcPr>
          <w:p w14:paraId="569CA52F" w14:textId="77777777" w:rsidR="00DF468F" w:rsidRDefault="00AC7B29">
            <w:pPr>
              <w:pStyle w:val="TableParagraph"/>
              <w:spacing w:before="7" w:line="264" w:lineRule="exact"/>
              <w:ind w:left="1003" w:right="317" w:hanging="666"/>
            </w:pPr>
            <w:r>
              <w:t>TKO MOŽE PODNIJETI ZAHTJEV</w:t>
            </w:r>
          </w:p>
        </w:tc>
        <w:tc>
          <w:tcPr>
            <w:tcW w:w="5531" w:type="dxa"/>
          </w:tcPr>
          <w:p w14:paraId="5279EB31" w14:textId="77777777" w:rsidR="00DF468F" w:rsidRDefault="00AC7B29">
            <w:pPr>
              <w:pStyle w:val="TableParagraph"/>
              <w:spacing w:line="264" w:lineRule="exact"/>
              <w:ind w:left="1844" w:right="1838"/>
              <w:jc w:val="center"/>
            </w:pPr>
            <w:r>
              <w:t>BITNE NAPOMENE</w:t>
            </w:r>
          </w:p>
        </w:tc>
      </w:tr>
      <w:tr w:rsidR="00DF468F" w14:paraId="094EE32B" w14:textId="77777777">
        <w:trPr>
          <w:trHeight w:val="4246"/>
        </w:trPr>
        <w:tc>
          <w:tcPr>
            <w:tcW w:w="2324" w:type="dxa"/>
          </w:tcPr>
          <w:p w14:paraId="0C1EBC8D" w14:textId="77777777" w:rsidR="00DF468F" w:rsidRDefault="00AC7B29">
            <w:pPr>
              <w:pStyle w:val="TableParagraph"/>
              <w:ind w:right="95"/>
              <w:jc w:val="center"/>
            </w:pPr>
            <w:r>
              <w:t>ODGODA PLAĆANJA I OBROČNA OTPLATA DUGA</w:t>
            </w:r>
          </w:p>
        </w:tc>
        <w:tc>
          <w:tcPr>
            <w:tcW w:w="2888" w:type="dxa"/>
          </w:tcPr>
          <w:p w14:paraId="123432C2" w14:textId="77777777" w:rsidR="00DF468F" w:rsidRDefault="00AC7B29">
            <w:pPr>
              <w:pStyle w:val="TableParagraph"/>
              <w:numPr>
                <w:ilvl w:val="0"/>
                <w:numId w:val="6"/>
              </w:numPr>
              <w:tabs>
                <w:tab w:val="left" w:pos="306"/>
              </w:tabs>
              <w:ind w:right="227" w:firstLine="0"/>
            </w:pPr>
            <w:r>
              <w:t xml:space="preserve">Pravne osobe (u koje </w:t>
            </w:r>
            <w:r>
              <w:rPr>
                <w:spacing w:val="-10"/>
              </w:rPr>
              <w:t xml:space="preserve">se </w:t>
            </w:r>
            <w:r>
              <w:t>uključuju i fizičke osobe koje obavljaju</w:t>
            </w:r>
            <w:r>
              <w:rPr>
                <w:spacing w:val="-10"/>
              </w:rPr>
              <w:t xml:space="preserve"> </w:t>
            </w:r>
            <w:r>
              <w:t>djelatnost)</w:t>
            </w:r>
          </w:p>
          <w:p w14:paraId="778C0587" w14:textId="41A7BD94" w:rsidR="00DF468F" w:rsidRPr="007C626B" w:rsidRDefault="00AC7B29">
            <w:pPr>
              <w:pStyle w:val="TableParagraph"/>
              <w:numPr>
                <w:ilvl w:val="0"/>
                <w:numId w:val="6"/>
              </w:numPr>
              <w:tabs>
                <w:tab w:val="left" w:pos="381"/>
              </w:tabs>
              <w:ind w:left="380" w:hanging="275"/>
            </w:pPr>
            <w:r w:rsidRPr="007C626B">
              <w:t>Fizičke</w:t>
            </w:r>
            <w:r w:rsidRPr="007C626B">
              <w:rPr>
                <w:spacing w:val="-5"/>
              </w:rPr>
              <w:t xml:space="preserve"> </w:t>
            </w:r>
            <w:r w:rsidRPr="007C626B">
              <w:t>osob</w:t>
            </w:r>
            <w:r w:rsidR="007C626B">
              <w:t>e</w:t>
            </w:r>
            <w:r w:rsidRPr="007C626B">
              <w:t>-građani</w:t>
            </w:r>
          </w:p>
        </w:tc>
        <w:tc>
          <w:tcPr>
            <w:tcW w:w="5531" w:type="dxa"/>
          </w:tcPr>
          <w:p w14:paraId="51BD1011" w14:textId="77777777" w:rsidR="00DF468F" w:rsidRDefault="00AC7B29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right="97" w:firstLine="0"/>
              <w:jc w:val="both"/>
            </w:pPr>
            <w:r>
              <w:t>Ukoliko je fizičkoj i pravnoj osobi odobrena odgoda plaćanja ili obročna otplata duga, sljedeći zahtjev za odgodu plaćanja ili obročnu otplatu duga ne može podnijeti prije proteka roka od pet godina od donošenja odluke o odobrenju odgode ili obročne otplate duga za prvobitni</w:t>
            </w:r>
            <w:r>
              <w:rPr>
                <w:spacing w:val="-10"/>
              </w:rPr>
              <w:t xml:space="preserve"> </w:t>
            </w:r>
            <w:r>
              <w:t>dug.</w:t>
            </w:r>
          </w:p>
          <w:p w14:paraId="5D1E381D" w14:textId="77777777" w:rsidR="00DF468F" w:rsidRDefault="00AC7B29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ind w:right="97" w:firstLine="0"/>
            </w:pPr>
            <w:r>
              <w:t>Za vrijeme trajanja odgode i obročne otplate duga obračunava se kamata po stopi od</w:t>
            </w:r>
            <w:r>
              <w:rPr>
                <w:spacing w:val="-4"/>
              </w:rPr>
              <w:t xml:space="preserve"> </w:t>
            </w:r>
            <w:r>
              <w:t>4,5%</w:t>
            </w:r>
          </w:p>
          <w:p w14:paraId="6B5B8580" w14:textId="77777777" w:rsidR="00DF468F" w:rsidRDefault="00AC7B29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</w:tabs>
              <w:spacing w:line="265" w:lineRule="exact"/>
              <w:ind w:left="293" w:hanging="186"/>
            </w:pPr>
            <w:r>
              <w:t>Fizička osoba koja podnese zahtjev za odgodu</w:t>
            </w:r>
            <w:r>
              <w:rPr>
                <w:spacing w:val="-8"/>
              </w:rPr>
              <w:t xml:space="preserve"> </w:t>
            </w:r>
            <w:r>
              <w:t>ili</w:t>
            </w:r>
          </w:p>
          <w:p w14:paraId="311D7EF4" w14:textId="77777777" w:rsidR="00DF468F" w:rsidRDefault="00AC7B29">
            <w:pPr>
              <w:pStyle w:val="TableParagraph"/>
              <w:ind w:right="243"/>
            </w:pPr>
            <w:r>
              <w:t>obročnu otplatu duga za otpis duga s osnove kamata ne može istodobno podnijeti i zahtjev za otpis ili</w:t>
            </w:r>
          </w:p>
          <w:p w14:paraId="539C2F6E" w14:textId="77777777" w:rsidR="00DF468F" w:rsidRDefault="00AC7B29">
            <w:pPr>
              <w:pStyle w:val="TableParagraph"/>
              <w:spacing w:line="265" w:lineRule="exact"/>
            </w:pPr>
            <w:r>
              <w:t>djelomičan otpis duga</w:t>
            </w:r>
          </w:p>
          <w:p w14:paraId="29D4722B" w14:textId="77777777" w:rsidR="00DF468F" w:rsidRDefault="00AC7B29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ind w:right="814" w:firstLine="0"/>
            </w:pPr>
            <w:r>
              <w:t>maksimalno</w:t>
            </w:r>
            <w:r w:rsidR="00977AFC">
              <w:t xml:space="preserve"> razdoblje odgode plaćanja je jednokratno do 24 mjeseca</w:t>
            </w:r>
            <w:r>
              <w:t xml:space="preserve"> mjeseci</w:t>
            </w:r>
          </w:p>
          <w:p w14:paraId="562CA1FA" w14:textId="77777777" w:rsidR="00DF468F" w:rsidRDefault="00AC7B29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2" w:line="266" w:lineRule="exact"/>
              <w:ind w:right="139" w:firstLine="0"/>
            </w:pPr>
            <w:r>
              <w:t>maksimalan broj mogućih obroka u slučaju</w:t>
            </w:r>
            <w:r>
              <w:rPr>
                <w:spacing w:val="-21"/>
              </w:rPr>
              <w:t xml:space="preserve"> </w:t>
            </w:r>
            <w:r>
              <w:t>obročne otplate je</w:t>
            </w:r>
            <w:r>
              <w:rPr>
                <w:spacing w:val="-4"/>
              </w:rPr>
              <w:t xml:space="preserve"> </w:t>
            </w:r>
            <w:r>
              <w:t>36</w:t>
            </w:r>
          </w:p>
        </w:tc>
      </w:tr>
      <w:tr w:rsidR="00DF468F" w14:paraId="1CAEDA15" w14:textId="77777777">
        <w:trPr>
          <w:trHeight w:val="1589"/>
        </w:trPr>
        <w:tc>
          <w:tcPr>
            <w:tcW w:w="2324" w:type="dxa"/>
          </w:tcPr>
          <w:p w14:paraId="326D98F3" w14:textId="77777777" w:rsidR="00DF468F" w:rsidRDefault="00AC7B29">
            <w:pPr>
              <w:pStyle w:val="TableParagraph"/>
              <w:spacing w:line="237" w:lineRule="auto"/>
              <w:ind w:left="175" w:right="148" w:firstLine="509"/>
            </w:pPr>
            <w:r>
              <w:t>OTPIS ILI DJELOMIČAN OTPIS</w:t>
            </w:r>
          </w:p>
          <w:p w14:paraId="31918230" w14:textId="77777777" w:rsidR="00DF468F" w:rsidRDefault="00AC7B29">
            <w:pPr>
              <w:pStyle w:val="TableParagraph"/>
              <w:ind w:left="405"/>
            </w:pPr>
            <w:r>
              <w:t>POTRAŽIVANJA</w:t>
            </w:r>
          </w:p>
        </w:tc>
        <w:tc>
          <w:tcPr>
            <w:tcW w:w="2888" w:type="dxa"/>
          </w:tcPr>
          <w:p w14:paraId="363C3219" w14:textId="77777777" w:rsidR="00DF468F" w:rsidRDefault="00AC7B29">
            <w:pPr>
              <w:pStyle w:val="TableParagraph"/>
              <w:spacing w:line="237" w:lineRule="auto"/>
              <w:ind w:left="105" w:right="460"/>
            </w:pPr>
            <w:r>
              <w:t>Isključivo fizičke osobe- građani</w:t>
            </w:r>
          </w:p>
        </w:tc>
        <w:tc>
          <w:tcPr>
            <w:tcW w:w="5531" w:type="dxa"/>
          </w:tcPr>
          <w:p w14:paraId="3E5AA793" w14:textId="77777777" w:rsidR="00DF468F" w:rsidRDefault="00AC7B29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ind w:right="98" w:firstLine="0"/>
              <w:jc w:val="both"/>
            </w:pPr>
            <w:r>
              <w:t>Ukoliko je fizičkoj osobi odobren otpis ili djelomičan otpis potraživanja slijedeći zahtjev ne može podnijeti prije proteka roka od pet godina od donošenja odluke o</w:t>
            </w:r>
            <w:r>
              <w:rPr>
                <w:spacing w:val="-1"/>
              </w:rPr>
              <w:t xml:space="preserve"> </w:t>
            </w:r>
            <w:r>
              <w:t>otpisu.</w:t>
            </w:r>
          </w:p>
          <w:p w14:paraId="36DB789C" w14:textId="77777777" w:rsidR="00DF468F" w:rsidRDefault="00AC7B29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66" w:lineRule="exact"/>
              <w:ind w:right="94" w:firstLine="0"/>
              <w:jc w:val="both"/>
            </w:pPr>
            <w:r>
              <w:t>ispunjavanje propisanih kriterija (socijalni uvjet ili imovno</w:t>
            </w:r>
            <w:r>
              <w:rPr>
                <w:spacing w:val="-1"/>
              </w:rPr>
              <w:t xml:space="preserve"> </w:t>
            </w:r>
            <w:r>
              <w:t>stanje)</w:t>
            </w:r>
          </w:p>
        </w:tc>
      </w:tr>
      <w:tr w:rsidR="00DF468F" w14:paraId="6ABB9AE7" w14:textId="77777777">
        <w:trPr>
          <w:trHeight w:val="1588"/>
        </w:trPr>
        <w:tc>
          <w:tcPr>
            <w:tcW w:w="2324" w:type="dxa"/>
          </w:tcPr>
          <w:p w14:paraId="7AF11032" w14:textId="77777777" w:rsidR="00DF468F" w:rsidRDefault="00AC7B29">
            <w:pPr>
              <w:pStyle w:val="TableParagraph"/>
              <w:ind w:left="234" w:right="222" w:hanging="1"/>
              <w:jc w:val="center"/>
            </w:pPr>
            <w:r>
              <w:lastRenderedPageBreak/>
              <w:t>OTPIS KAMATA UZ JEDNOKRATNU UPLATU GLAVNICE</w:t>
            </w:r>
          </w:p>
        </w:tc>
        <w:tc>
          <w:tcPr>
            <w:tcW w:w="2888" w:type="dxa"/>
          </w:tcPr>
          <w:p w14:paraId="0D0753B1" w14:textId="77777777" w:rsidR="00DF468F" w:rsidRDefault="00AC7B29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ind w:right="161" w:firstLine="0"/>
            </w:pPr>
            <w:r>
              <w:t>Pravne osobe (u koje se uključuju i fizičke osobe koje obavljaju</w:t>
            </w:r>
            <w:r>
              <w:rPr>
                <w:spacing w:val="-8"/>
              </w:rPr>
              <w:t xml:space="preserve"> </w:t>
            </w:r>
            <w:r>
              <w:t>djelatnost)</w:t>
            </w:r>
          </w:p>
          <w:p w14:paraId="6D2254C9" w14:textId="77777777" w:rsidR="00DF468F" w:rsidRDefault="00AC7B29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</w:tabs>
              <w:ind w:left="380" w:hanging="275"/>
            </w:pPr>
            <w:r>
              <w:t>Fizičke</w:t>
            </w:r>
            <w:r>
              <w:rPr>
                <w:spacing w:val="-7"/>
              </w:rPr>
              <w:t xml:space="preserve"> </w:t>
            </w:r>
            <w:r>
              <w:t>osoba-građani</w:t>
            </w:r>
          </w:p>
        </w:tc>
        <w:tc>
          <w:tcPr>
            <w:tcW w:w="5531" w:type="dxa"/>
          </w:tcPr>
          <w:p w14:paraId="591B98A8" w14:textId="77777777" w:rsidR="00DF468F" w:rsidRDefault="00AC7B29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right="99" w:firstLine="0"/>
              <w:jc w:val="both"/>
            </w:pPr>
            <w:r>
              <w:t>Fizička i pravna osoba koja je podnijela zahtjev za otpis duga s osnove kamata, dužna je stanje duga uskladiti s nadležnim odjelom</w:t>
            </w:r>
            <w:r>
              <w:rPr>
                <w:spacing w:val="-7"/>
              </w:rPr>
              <w:t xml:space="preserve"> </w:t>
            </w:r>
            <w:r>
              <w:t>Grada.</w:t>
            </w:r>
          </w:p>
          <w:p w14:paraId="12BC45C4" w14:textId="77777777" w:rsidR="00DF468F" w:rsidRDefault="00AC7B29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ind w:right="100" w:firstLine="0"/>
              <w:jc w:val="both"/>
            </w:pPr>
            <w:r>
              <w:t>Dospjeli dug s osnove kamata će se otpisati ako fizička   i   pravna  osoba  u   roku   30  dana</w:t>
            </w:r>
            <w:r>
              <w:rPr>
                <w:spacing w:val="-18"/>
              </w:rPr>
              <w:t xml:space="preserve"> </w:t>
            </w:r>
            <w:r>
              <w:t>od  dana</w:t>
            </w:r>
          </w:p>
          <w:p w14:paraId="5BCD36C9" w14:textId="77777777" w:rsidR="00DF468F" w:rsidRDefault="00AC7B29">
            <w:pPr>
              <w:pStyle w:val="TableParagraph"/>
              <w:spacing w:line="248" w:lineRule="exact"/>
              <w:jc w:val="both"/>
            </w:pPr>
            <w:r>
              <w:t>usklađenja</w:t>
            </w:r>
            <w:r>
              <w:rPr>
                <w:spacing w:val="35"/>
              </w:rPr>
              <w:t xml:space="preserve"> </w:t>
            </w:r>
            <w:r>
              <w:t>stanja</w:t>
            </w:r>
            <w:r>
              <w:rPr>
                <w:spacing w:val="36"/>
              </w:rPr>
              <w:t xml:space="preserve"> </w:t>
            </w:r>
            <w:r>
              <w:t>duga</w:t>
            </w:r>
            <w:r>
              <w:rPr>
                <w:spacing w:val="34"/>
              </w:rPr>
              <w:t xml:space="preserve"> </w:t>
            </w:r>
            <w:r>
              <w:t>na</w:t>
            </w:r>
            <w:r>
              <w:rPr>
                <w:spacing w:val="36"/>
              </w:rPr>
              <w:t xml:space="preserve"> </w:t>
            </w:r>
            <w:r>
              <w:t>propisane</w:t>
            </w:r>
            <w:r>
              <w:rPr>
                <w:spacing w:val="36"/>
              </w:rPr>
              <w:t xml:space="preserve"> </w:t>
            </w:r>
            <w:r>
              <w:t>uplatne</w:t>
            </w:r>
            <w:r>
              <w:rPr>
                <w:spacing w:val="36"/>
              </w:rPr>
              <w:t xml:space="preserve"> </w:t>
            </w:r>
            <w:r>
              <w:t>račune</w:t>
            </w:r>
          </w:p>
        </w:tc>
      </w:tr>
    </w:tbl>
    <w:p w14:paraId="3A32809C" w14:textId="77777777" w:rsidR="00DF468F" w:rsidRDefault="00DF468F">
      <w:pPr>
        <w:spacing w:line="248" w:lineRule="exact"/>
        <w:jc w:val="both"/>
        <w:sectPr w:rsidR="00DF468F">
          <w:type w:val="continuous"/>
          <w:pgSz w:w="11910" w:h="16840"/>
          <w:pgMar w:top="620" w:right="440" w:bottom="280" w:left="5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888"/>
        <w:gridCol w:w="5531"/>
      </w:tblGrid>
      <w:tr w:rsidR="00DF468F" w14:paraId="29640C13" w14:textId="77777777">
        <w:trPr>
          <w:trHeight w:val="1329"/>
        </w:trPr>
        <w:tc>
          <w:tcPr>
            <w:tcW w:w="2324" w:type="dxa"/>
          </w:tcPr>
          <w:p w14:paraId="3E7CC1B4" w14:textId="77777777" w:rsidR="00DF468F" w:rsidRDefault="00DF46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88" w:type="dxa"/>
          </w:tcPr>
          <w:p w14:paraId="531FF8D8" w14:textId="77777777" w:rsidR="00DF468F" w:rsidRDefault="00DF46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31" w:type="dxa"/>
          </w:tcPr>
          <w:p w14:paraId="0C9A6A3D" w14:textId="77777777" w:rsidR="00DF468F" w:rsidRDefault="00AC7B29">
            <w:pPr>
              <w:pStyle w:val="TableParagraph"/>
              <w:ind w:right="96"/>
              <w:jc w:val="both"/>
            </w:pPr>
            <w:r>
              <w:t>prihoda proračuna uplati glavnicu duga za koji podnosi zahtjev za otpis kamata.</w:t>
            </w:r>
          </w:p>
          <w:p w14:paraId="1AEA4BA0" w14:textId="77777777" w:rsidR="00DF468F" w:rsidRDefault="00AC7B29">
            <w:pPr>
              <w:pStyle w:val="TableParagraph"/>
              <w:spacing w:before="4" w:line="266" w:lineRule="exact"/>
              <w:ind w:right="96"/>
              <w:jc w:val="both"/>
            </w:pPr>
            <w:r>
              <w:t>c)Fizička i pravna osoba koja podnese zahtjev za otpis duga s osnove kamata ne može istodobno podnijeti i zahtjev za odgodu ili obročnu otplatu duga</w:t>
            </w:r>
          </w:p>
        </w:tc>
      </w:tr>
    </w:tbl>
    <w:p w14:paraId="7E2FEB4C" w14:textId="77777777" w:rsidR="00DF468F" w:rsidRDefault="00DF468F">
      <w:pPr>
        <w:pStyle w:val="BodyText"/>
        <w:spacing w:before="9"/>
        <w:ind w:left="0" w:firstLine="0"/>
        <w:rPr>
          <w:sz w:val="16"/>
        </w:rPr>
      </w:pPr>
    </w:p>
    <w:p w14:paraId="0F62BDDF" w14:textId="77777777" w:rsidR="00DF468F" w:rsidRDefault="00AC7B29">
      <w:pPr>
        <w:pStyle w:val="BodyText"/>
        <w:spacing w:before="101"/>
        <w:ind w:left="928" w:firstLine="0"/>
      </w:pPr>
      <w:r>
        <w:t>Sažetak :</w:t>
      </w:r>
    </w:p>
    <w:p w14:paraId="5A1ABFD8" w14:textId="77777777" w:rsidR="00DF468F" w:rsidRDefault="00AC7B29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9" w:line="267" w:lineRule="exact"/>
        <w:ind w:hanging="360"/>
      </w:pPr>
      <w:r>
        <w:t xml:space="preserve">dužnik je obvezan podnijeti </w:t>
      </w:r>
      <w:r>
        <w:rPr>
          <w:b/>
        </w:rPr>
        <w:t xml:space="preserve">pisani zahtjev </w:t>
      </w:r>
      <w:r>
        <w:t>na propisanim obrascima sa obveznim prilozima i</w:t>
      </w:r>
      <w:r>
        <w:rPr>
          <w:spacing w:val="-18"/>
        </w:rPr>
        <w:t xml:space="preserve"> </w:t>
      </w:r>
      <w:r>
        <w:t>to:</w:t>
      </w:r>
    </w:p>
    <w:p w14:paraId="4F3EA546" w14:textId="77777777" w:rsidR="00DF468F" w:rsidRDefault="00AC7B29">
      <w:pPr>
        <w:pStyle w:val="ListParagraph"/>
        <w:numPr>
          <w:ilvl w:val="1"/>
          <w:numId w:val="1"/>
        </w:numPr>
        <w:tabs>
          <w:tab w:val="left" w:pos="2380"/>
          <w:tab w:val="left" w:pos="2381"/>
        </w:tabs>
        <w:spacing w:line="275" w:lineRule="exact"/>
      </w:pPr>
      <w:r>
        <w:rPr>
          <w:b/>
        </w:rPr>
        <w:t xml:space="preserve">Obrazac ZFO </w:t>
      </w:r>
      <w:r>
        <w:t>– fizičke osobe</w:t>
      </w:r>
      <w:r>
        <w:rPr>
          <w:spacing w:val="3"/>
        </w:rPr>
        <w:t xml:space="preserve"> </w:t>
      </w:r>
      <w:r>
        <w:t>(građani)</w:t>
      </w:r>
    </w:p>
    <w:p w14:paraId="3157462C" w14:textId="77777777" w:rsidR="00DF468F" w:rsidRDefault="00AC7B29">
      <w:pPr>
        <w:pStyle w:val="ListParagraph"/>
        <w:numPr>
          <w:ilvl w:val="1"/>
          <w:numId w:val="1"/>
        </w:numPr>
        <w:tabs>
          <w:tab w:val="left" w:pos="2380"/>
          <w:tab w:val="left" w:pos="2381"/>
        </w:tabs>
        <w:spacing w:before="3" w:line="223" w:lineRule="auto"/>
        <w:ind w:right="275"/>
      </w:pPr>
      <w:r>
        <w:rPr>
          <w:b/>
        </w:rPr>
        <w:t xml:space="preserve">Obrazac ZPO </w:t>
      </w:r>
      <w:r>
        <w:t>– pravne osobe (uključivo i fizičke osobe koje obavljaju registriranu djelatnost),</w:t>
      </w:r>
    </w:p>
    <w:p w14:paraId="7C2BD45B" w14:textId="77777777" w:rsidR="00DF468F" w:rsidRDefault="00AC7B29">
      <w:pPr>
        <w:pStyle w:val="ListParagraph"/>
        <w:numPr>
          <w:ilvl w:val="1"/>
          <w:numId w:val="1"/>
        </w:numPr>
        <w:tabs>
          <w:tab w:val="left" w:pos="2380"/>
          <w:tab w:val="left" w:pos="2381"/>
        </w:tabs>
        <w:spacing w:before="4"/>
      </w:pPr>
      <w:r>
        <w:rPr>
          <w:b/>
        </w:rPr>
        <w:t xml:space="preserve">Obrazac Otpis kamata uz jednokratnu uplatu glavnice </w:t>
      </w:r>
      <w:r>
        <w:t>– pravne i fizičke</w:t>
      </w:r>
      <w:r>
        <w:rPr>
          <w:spacing w:val="-16"/>
        </w:rPr>
        <w:t xml:space="preserve"> </w:t>
      </w:r>
      <w:r>
        <w:t>osobe</w:t>
      </w:r>
    </w:p>
    <w:p w14:paraId="387EA71D" w14:textId="77777777" w:rsidR="00DF468F" w:rsidRDefault="00AC7B29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244" w:line="267" w:lineRule="exact"/>
        <w:ind w:hanging="360"/>
      </w:pPr>
      <w:r>
        <w:t>zahtjev se podnosi Upravnom odjelu Grada Opatije nadležnom za utvrđivanje osnova</w:t>
      </w:r>
      <w:r>
        <w:rPr>
          <w:spacing w:val="-16"/>
        </w:rPr>
        <w:t xml:space="preserve"> </w:t>
      </w:r>
      <w:r>
        <w:t>plaćanja,</w:t>
      </w:r>
    </w:p>
    <w:p w14:paraId="6DDDC758" w14:textId="77777777" w:rsidR="00DF468F" w:rsidRDefault="00AC7B29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5" w:lineRule="exact"/>
        <w:ind w:hanging="360"/>
      </w:pPr>
      <w:r>
        <w:t>podnositelj zahtjeva odgovara materijalno i kazneno za točnost</w:t>
      </w:r>
      <w:r>
        <w:rPr>
          <w:spacing w:val="-12"/>
        </w:rPr>
        <w:t xml:space="preserve"> </w:t>
      </w:r>
      <w:r>
        <w:t>podataka,</w:t>
      </w:r>
    </w:p>
    <w:p w14:paraId="70356391" w14:textId="77777777" w:rsidR="00DF468F" w:rsidRDefault="00AC7B29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right="278" w:hanging="360"/>
      </w:pPr>
      <w:r>
        <w:t>ako podaci iskazani u zahtjevu nisu potpuni i/ili nisu dostavljeni svi prilozi, podnositelj zahtjeva dužan je po zaključku nadležnog tijela dopuniti zahtjev u roku 15 dana od dana</w:t>
      </w:r>
      <w:r>
        <w:rPr>
          <w:spacing w:val="-24"/>
        </w:rPr>
        <w:t xml:space="preserve"> </w:t>
      </w:r>
      <w:r>
        <w:t>dostave,</w:t>
      </w:r>
    </w:p>
    <w:p w14:paraId="4B39A165" w14:textId="77777777" w:rsidR="00DF468F" w:rsidRDefault="00AC7B29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right="275" w:hanging="360"/>
      </w:pPr>
      <w:r>
        <w:t>ukoliko se u ostavljenom roku zahtjev ne nadopuni ili se ne dostave svi traženi prilozi nadležno tijelo će rješenjem odbaciti</w:t>
      </w:r>
      <w:r>
        <w:rPr>
          <w:spacing w:val="-2"/>
        </w:rPr>
        <w:t xml:space="preserve"> </w:t>
      </w:r>
      <w:r>
        <w:t>zahtjev</w:t>
      </w:r>
    </w:p>
    <w:sectPr w:rsidR="00DF468F">
      <w:pgSz w:w="11910" w:h="16840"/>
      <w:pgMar w:top="70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62BC"/>
    <w:multiLevelType w:val="hybridMultilevel"/>
    <w:tmpl w:val="11C03068"/>
    <w:lvl w:ilvl="0" w:tplc="8664256A">
      <w:start w:val="1"/>
      <w:numFmt w:val="lowerLetter"/>
      <w:lvlText w:val="%1)"/>
      <w:lvlJc w:val="left"/>
      <w:pPr>
        <w:ind w:left="105" w:hanging="269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hr-HR" w:eastAsia="hr-HR" w:bidi="hr-HR"/>
      </w:rPr>
    </w:lvl>
    <w:lvl w:ilvl="1" w:tplc="CC3E024A">
      <w:numFmt w:val="bullet"/>
      <w:lvlText w:val="•"/>
      <w:lvlJc w:val="left"/>
      <w:pPr>
        <w:ind w:left="377" w:hanging="269"/>
      </w:pPr>
      <w:rPr>
        <w:rFonts w:hint="default"/>
        <w:lang w:val="hr-HR" w:eastAsia="hr-HR" w:bidi="hr-HR"/>
      </w:rPr>
    </w:lvl>
    <w:lvl w:ilvl="2" w:tplc="3BAC95D2">
      <w:numFmt w:val="bullet"/>
      <w:lvlText w:val="•"/>
      <w:lvlJc w:val="left"/>
      <w:pPr>
        <w:ind w:left="655" w:hanging="269"/>
      </w:pPr>
      <w:rPr>
        <w:rFonts w:hint="default"/>
        <w:lang w:val="hr-HR" w:eastAsia="hr-HR" w:bidi="hr-HR"/>
      </w:rPr>
    </w:lvl>
    <w:lvl w:ilvl="3" w:tplc="033218E0">
      <w:numFmt w:val="bullet"/>
      <w:lvlText w:val="•"/>
      <w:lvlJc w:val="left"/>
      <w:pPr>
        <w:ind w:left="933" w:hanging="269"/>
      </w:pPr>
      <w:rPr>
        <w:rFonts w:hint="default"/>
        <w:lang w:val="hr-HR" w:eastAsia="hr-HR" w:bidi="hr-HR"/>
      </w:rPr>
    </w:lvl>
    <w:lvl w:ilvl="4" w:tplc="CA9A1FEA">
      <w:numFmt w:val="bullet"/>
      <w:lvlText w:val="•"/>
      <w:lvlJc w:val="left"/>
      <w:pPr>
        <w:ind w:left="1211" w:hanging="269"/>
      </w:pPr>
      <w:rPr>
        <w:rFonts w:hint="default"/>
        <w:lang w:val="hr-HR" w:eastAsia="hr-HR" w:bidi="hr-HR"/>
      </w:rPr>
    </w:lvl>
    <w:lvl w:ilvl="5" w:tplc="BA76C1D6">
      <w:numFmt w:val="bullet"/>
      <w:lvlText w:val="•"/>
      <w:lvlJc w:val="left"/>
      <w:pPr>
        <w:ind w:left="1489" w:hanging="269"/>
      </w:pPr>
      <w:rPr>
        <w:rFonts w:hint="default"/>
        <w:lang w:val="hr-HR" w:eastAsia="hr-HR" w:bidi="hr-HR"/>
      </w:rPr>
    </w:lvl>
    <w:lvl w:ilvl="6" w:tplc="A77A81B2">
      <w:numFmt w:val="bullet"/>
      <w:lvlText w:val="•"/>
      <w:lvlJc w:val="left"/>
      <w:pPr>
        <w:ind w:left="1766" w:hanging="269"/>
      </w:pPr>
      <w:rPr>
        <w:rFonts w:hint="default"/>
        <w:lang w:val="hr-HR" w:eastAsia="hr-HR" w:bidi="hr-HR"/>
      </w:rPr>
    </w:lvl>
    <w:lvl w:ilvl="7" w:tplc="31EA62A8">
      <w:numFmt w:val="bullet"/>
      <w:lvlText w:val="•"/>
      <w:lvlJc w:val="left"/>
      <w:pPr>
        <w:ind w:left="2044" w:hanging="269"/>
      </w:pPr>
      <w:rPr>
        <w:rFonts w:hint="default"/>
        <w:lang w:val="hr-HR" w:eastAsia="hr-HR" w:bidi="hr-HR"/>
      </w:rPr>
    </w:lvl>
    <w:lvl w:ilvl="8" w:tplc="4644FFD0">
      <w:numFmt w:val="bullet"/>
      <w:lvlText w:val="•"/>
      <w:lvlJc w:val="left"/>
      <w:pPr>
        <w:ind w:left="2322" w:hanging="269"/>
      </w:pPr>
      <w:rPr>
        <w:rFonts w:hint="default"/>
        <w:lang w:val="hr-HR" w:eastAsia="hr-HR" w:bidi="hr-HR"/>
      </w:rPr>
    </w:lvl>
  </w:abstractNum>
  <w:abstractNum w:abstractNumId="1" w15:restartNumberingAfterBreak="0">
    <w:nsid w:val="18134F65"/>
    <w:multiLevelType w:val="hybridMultilevel"/>
    <w:tmpl w:val="3C38B27A"/>
    <w:lvl w:ilvl="0" w:tplc="AA482FF8">
      <w:start w:val="1"/>
      <w:numFmt w:val="lowerLetter"/>
      <w:lvlText w:val="%1)"/>
      <w:lvlJc w:val="left"/>
      <w:pPr>
        <w:ind w:left="107" w:hanging="201"/>
        <w:jc w:val="left"/>
      </w:pPr>
      <w:rPr>
        <w:rFonts w:ascii="Tahoma" w:eastAsia="Tahoma" w:hAnsi="Tahoma" w:cs="Tahoma" w:hint="default"/>
        <w:spacing w:val="-19"/>
        <w:w w:val="100"/>
        <w:sz w:val="20"/>
        <w:szCs w:val="20"/>
        <w:lang w:val="hr-HR" w:eastAsia="hr-HR" w:bidi="hr-HR"/>
      </w:rPr>
    </w:lvl>
    <w:lvl w:ilvl="1" w:tplc="B84A60EC">
      <w:numFmt w:val="bullet"/>
      <w:lvlText w:val="•"/>
      <w:lvlJc w:val="left"/>
      <w:pPr>
        <w:ind w:left="642" w:hanging="201"/>
      </w:pPr>
      <w:rPr>
        <w:rFonts w:hint="default"/>
        <w:lang w:val="hr-HR" w:eastAsia="hr-HR" w:bidi="hr-HR"/>
      </w:rPr>
    </w:lvl>
    <w:lvl w:ilvl="2" w:tplc="9EF00128">
      <w:numFmt w:val="bullet"/>
      <w:lvlText w:val="•"/>
      <w:lvlJc w:val="left"/>
      <w:pPr>
        <w:ind w:left="1184" w:hanging="201"/>
      </w:pPr>
      <w:rPr>
        <w:rFonts w:hint="default"/>
        <w:lang w:val="hr-HR" w:eastAsia="hr-HR" w:bidi="hr-HR"/>
      </w:rPr>
    </w:lvl>
    <w:lvl w:ilvl="3" w:tplc="BDC00A5E">
      <w:numFmt w:val="bullet"/>
      <w:lvlText w:val="•"/>
      <w:lvlJc w:val="left"/>
      <w:pPr>
        <w:ind w:left="1726" w:hanging="201"/>
      </w:pPr>
      <w:rPr>
        <w:rFonts w:hint="default"/>
        <w:lang w:val="hr-HR" w:eastAsia="hr-HR" w:bidi="hr-HR"/>
      </w:rPr>
    </w:lvl>
    <w:lvl w:ilvl="4" w:tplc="F87EC6EC">
      <w:numFmt w:val="bullet"/>
      <w:lvlText w:val="•"/>
      <w:lvlJc w:val="left"/>
      <w:pPr>
        <w:ind w:left="2268" w:hanging="201"/>
      </w:pPr>
      <w:rPr>
        <w:rFonts w:hint="default"/>
        <w:lang w:val="hr-HR" w:eastAsia="hr-HR" w:bidi="hr-HR"/>
      </w:rPr>
    </w:lvl>
    <w:lvl w:ilvl="5" w:tplc="F982AEB0">
      <w:numFmt w:val="bullet"/>
      <w:lvlText w:val="•"/>
      <w:lvlJc w:val="left"/>
      <w:pPr>
        <w:ind w:left="2810" w:hanging="201"/>
      </w:pPr>
      <w:rPr>
        <w:rFonts w:hint="default"/>
        <w:lang w:val="hr-HR" w:eastAsia="hr-HR" w:bidi="hr-HR"/>
      </w:rPr>
    </w:lvl>
    <w:lvl w:ilvl="6" w:tplc="3F0ADC22">
      <w:numFmt w:val="bullet"/>
      <w:lvlText w:val="•"/>
      <w:lvlJc w:val="left"/>
      <w:pPr>
        <w:ind w:left="3352" w:hanging="201"/>
      </w:pPr>
      <w:rPr>
        <w:rFonts w:hint="default"/>
        <w:lang w:val="hr-HR" w:eastAsia="hr-HR" w:bidi="hr-HR"/>
      </w:rPr>
    </w:lvl>
    <w:lvl w:ilvl="7" w:tplc="82FEC8D2">
      <w:numFmt w:val="bullet"/>
      <w:lvlText w:val="•"/>
      <w:lvlJc w:val="left"/>
      <w:pPr>
        <w:ind w:left="3894" w:hanging="201"/>
      </w:pPr>
      <w:rPr>
        <w:rFonts w:hint="default"/>
        <w:lang w:val="hr-HR" w:eastAsia="hr-HR" w:bidi="hr-HR"/>
      </w:rPr>
    </w:lvl>
    <w:lvl w:ilvl="8" w:tplc="BF407182">
      <w:numFmt w:val="bullet"/>
      <w:lvlText w:val="•"/>
      <w:lvlJc w:val="left"/>
      <w:pPr>
        <w:ind w:left="4436" w:hanging="201"/>
      </w:pPr>
      <w:rPr>
        <w:rFonts w:hint="default"/>
        <w:lang w:val="hr-HR" w:eastAsia="hr-HR" w:bidi="hr-HR"/>
      </w:rPr>
    </w:lvl>
  </w:abstractNum>
  <w:abstractNum w:abstractNumId="2" w15:restartNumberingAfterBreak="0">
    <w:nsid w:val="1E0C7A1A"/>
    <w:multiLevelType w:val="hybridMultilevel"/>
    <w:tmpl w:val="13EEDB1C"/>
    <w:lvl w:ilvl="0" w:tplc="3D70555E">
      <w:start w:val="1"/>
      <w:numFmt w:val="lowerLetter"/>
      <w:lvlText w:val="%1)"/>
      <w:lvlJc w:val="left"/>
      <w:pPr>
        <w:ind w:left="105" w:hanging="201"/>
        <w:jc w:val="left"/>
      </w:pPr>
      <w:rPr>
        <w:rFonts w:ascii="Tahoma" w:eastAsia="Tahoma" w:hAnsi="Tahoma" w:cs="Tahoma" w:hint="default"/>
        <w:spacing w:val="-11"/>
        <w:w w:val="100"/>
        <w:sz w:val="20"/>
        <w:szCs w:val="20"/>
        <w:lang w:val="hr-HR" w:eastAsia="hr-HR" w:bidi="hr-HR"/>
      </w:rPr>
    </w:lvl>
    <w:lvl w:ilvl="1" w:tplc="7DBC0C46">
      <w:numFmt w:val="bullet"/>
      <w:lvlText w:val="•"/>
      <w:lvlJc w:val="left"/>
      <w:pPr>
        <w:ind w:left="377" w:hanging="201"/>
      </w:pPr>
      <w:rPr>
        <w:rFonts w:hint="default"/>
        <w:lang w:val="hr-HR" w:eastAsia="hr-HR" w:bidi="hr-HR"/>
      </w:rPr>
    </w:lvl>
    <w:lvl w:ilvl="2" w:tplc="15420D14">
      <w:numFmt w:val="bullet"/>
      <w:lvlText w:val="•"/>
      <w:lvlJc w:val="left"/>
      <w:pPr>
        <w:ind w:left="655" w:hanging="201"/>
      </w:pPr>
      <w:rPr>
        <w:rFonts w:hint="default"/>
        <w:lang w:val="hr-HR" w:eastAsia="hr-HR" w:bidi="hr-HR"/>
      </w:rPr>
    </w:lvl>
    <w:lvl w:ilvl="3" w:tplc="13DAFFBC">
      <w:numFmt w:val="bullet"/>
      <w:lvlText w:val="•"/>
      <w:lvlJc w:val="left"/>
      <w:pPr>
        <w:ind w:left="933" w:hanging="201"/>
      </w:pPr>
      <w:rPr>
        <w:rFonts w:hint="default"/>
        <w:lang w:val="hr-HR" w:eastAsia="hr-HR" w:bidi="hr-HR"/>
      </w:rPr>
    </w:lvl>
    <w:lvl w:ilvl="4" w:tplc="85242B94">
      <w:numFmt w:val="bullet"/>
      <w:lvlText w:val="•"/>
      <w:lvlJc w:val="left"/>
      <w:pPr>
        <w:ind w:left="1211" w:hanging="201"/>
      </w:pPr>
      <w:rPr>
        <w:rFonts w:hint="default"/>
        <w:lang w:val="hr-HR" w:eastAsia="hr-HR" w:bidi="hr-HR"/>
      </w:rPr>
    </w:lvl>
    <w:lvl w:ilvl="5" w:tplc="412ECBAE">
      <w:numFmt w:val="bullet"/>
      <w:lvlText w:val="•"/>
      <w:lvlJc w:val="left"/>
      <w:pPr>
        <w:ind w:left="1489" w:hanging="201"/>
      </w:pPr>
      <w:rPr>
        <w:rFonts w:hint="default"/>
        <w:lang w:val="hr-HR" w:eastAsia="hr-HR" w:bidi="hr-HR"/>
      </w:rPr>
    </w:lvl>
    <w:lvl w:ilvl="6" w:tplc="8EBC28F2">
      <w:numFmt w:val="bullet"/>
      <w:lvlText w:val="•"/>
      <w:lvlJc w:val="left"/>
      <w:pPr>
        <w:ind w:left="1766" w:hanging="201"/>
      </w:pPr>
      <w:rPr>
        <w:rFonts w:hint="default"/>
        <w:lang w:val="hr-HR" w:eastAsia="hr-HR" w:bidi="hr-HR"/>
      </w:rPr>
    </w:lvl>
    <w:lvl w:ilvl="7" w:tplc="489E4068">
      <w:numFmt w:val="bullet"/>
      <w:lvlText w:val="•"/>
      <w:lvlJc w:val="left"/>
      <w:pPr>
        <w:ind w:left="2044" w:hanging="201"/>
      </w:pPr>
      <w:rPr>
        <w:rFonts w:hint="default"/>
        <w:lang w:val="hr-HR" w:eastAsia="hr-HR" w:bidi="hr-HR"/>
      </w:rPr>
    </w:lvl>
    <w:lvl w:ilvl="8" w:tplc="6A1641BA">
      <w:numFmt w:val="bullet"/>
      <w:lvlText w:val="•"/>
      <w:lvlJc w:val="left"/>
      <w:pPr>
        <w:ind w:left="2322" w:hanging="201"/>
      </w:pPr>
      <w:rPr>
        <w:rFonts w:hint="default"/>
        <w:lang w:val="hr-HR" w:eastAsia="hr-HR" w:bidi="hr-HR"/>
      </w:rPr>
    </w:lvl>
  </w:abstractNum>
  <w:abstractNum w:abstractNumId="3" w15:restartNumberingAfterBreak="0">
    <w:nsid w:val="2F82399A"/>
    <w:multiLevelType w:val="hybridMultilevel"/>
    <w:tmpl w:val="FA86AFD0"/>
    <w:lvl w:ilvl="0" w:tplc="46906B5E">
      <w:numFmt w:val="bullet"/>
      <w:lvlText w:val="▪"/>
      <w:lvlJc w:val="left"/>
      <w:pPr>
        <w:ind w:left="940" w:hanging="361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6D0CDA12">
      <w:numFmt w:val="bullet"/>
      <w:lvlText w:val="-"/>
      <w:lvlJc w:val="left"/>
      <w:pPr>
        <w:ind w:left="238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hr-HR" w:eastAsia="hr-HR" w:bidi="hr-HR"/>
      </w:rPr>
    </w:lvl>
    <w:lvl w:ilvl="2" w:tplc="970E7BB4">
      <w:numFmt w:val="bullet"/>
      <w:lvlText w:val="•"/>
      <w:lvlJc w:val="left"/>
      <w:pPr>
        <w:ind w:left="3334" w:hanging="360"/>
      </w:pPr>
      <w:rPr>
        <w:rFonts w:hint="default"/>
        <w:lang w:val="hr-HR" w:eastAsia="hr-HR" w:bidi="hr-HR"/>
      </w:rPr>
    </w:lvl>
    <w:lvl w:ilvl="3" w:tplc="1C2C08AE">
      <w:numFmt w:val="bullet"/>
      <w:lvlText w:val="•"/>
      <w:lvlJc w:val="left"/>
      <w:pPr>
        <w:ind w:left="4288" w:hanging="360"/>
      </w:pPr>
      <w:rPr>
        <w:rFonts w:hint="default"/>
        <w:lang w:val="hr-HR" w:eastAsia="hr-HR" w:bidi="hr-HR"/>
      </w:rPr>
    </w:lvl>
    <w:lvl w:ilvl="4" w:tplc="3EDAAC42">
      <w:numFmt w:val="bullet"/>
      <w:lvlText w:val="•"/>
      <w:lvlJc w:val="left"/>
      <w:pPr>
        <w:ind w:left="5242" w:hanging="360"/>
      </w:pPr>
      <w:rPr>
        <w:rFonts w:hint="default"/>
        <w:lang w:val="hr-HR" w:eastAsia="hr-HR" w:bidi="hr-HR"/>
      </w:rPr>
    </w:lvl>
    <w:lvl w:ilvl="5" w:tplc="F8C66F8E">
      <w:numFmt w:val="bullet"/>
      <w:lvlText w:val="•"/>
      <w:lvlJc w:val="left"/>
      <w:pPr>
        <w:ind w:left="6196" w:hanging="360"/>
      </w:pPr>
      <w:rPr>
        <w:rFonts w:hint="default"/>
        <w:lang w:val="hr-HR" w:eastAsia="hr-HR" w:bidi="hr-HR"/>
      </w:rPr>
    </w:lvl>
    <w:lvl w:ilvl="6" w:tplc="FE582D9A">
      <w:numFmt w:val="bullet"/>
      <w:lvlText w:val="•"/>
      <w:lvlJc w:val="left"/>
      <w:pPr>
        <w:ind w:left="7150" w:hanging="360"/>
      </w:pPr>
      <w:rPr>
        <w:rFonts w:hint="default"/>
        <w:lang w:val="hr-HR" w:eastAsia="hr-HR" w:bidi="hr-HR"/>
      </w:rPr>
    </w:lvl>
    <w:lvl w:ilvl="7" w:tplc="DB38AD88">
      <w:numFmt w:val="bullet"/>
      <w:lvlText w:val="•"/>
      <w:lvlJc w:val="left"/>
      <w:pPr>
        <w:ind w:left="8104" w:hanging="360"/>
      </w:pPr>
      <w:rPr>
        <w:rFonts w:hint="default"/>
        <w:lang w:val="hr-HR" w:eastAsia="hr-HR" w:bidi="hr-HR"/>
      </w:rPr>
    </w:lvl>
    <w:lvl w:ilvl="8" w:tplc="CF42A974">
      <w:numFmt w:val="bullet"/>
      <w:lvlText w:val="•"/>
      <w:lvlJc w:val="left"/>
      <w:pPr>
        <w:ind w:left="9058" w:hanging="360"/>
      </w:pPr>
      <w:rPr>
        <w:rFonts w:hint="default"/>
        <w:lang w:val="hr-HR" w:eastAsia="hr-HR" w:bidi="hr-HR"/>
      </w:rPr>
    </w:lvl>
  </w:abstractNum>
  <w:abstractNum w:abstractNumId="4" w15:restartNumberingAfterBreak="0">
    <w:nsid w:val="46A7341B"/>
    <w:multiLevelType w:val="hybridMultilevel"/>
    <w:tmpl w:val="43B62DE2"/>
    <w:lvl w:ilvl="0" w:tplc="949E1E72">
      <w:start w:val="1"/>
      <w:numFmt w:val="lowerLetter"/>
      <w:lvlText w:val="%1)"/>
      <w:lvlJc w:val="left"/>
      <w:pPr>
        <w:ind w:left="107" w:hanging="201"/>
        <w:jc w:val="left"/>
      </w:pPr>
      <w:rPr>
        <w:rFonts w:ascii="Tahoma" w:eastAsia="Tahoma" w:hAnsi="Tahoma" w:cs="Tahoma" w:hint="default"/>
        <w:spacing w:val="-1"/>
        <w:w w:val="100"/>
        <w:sz w:val="20"/>
        <w:szCs w:val="20"/>
        <w:lang w:val="hr-HR" w:eastAsia="hr-HR" w:bidi="hr-HR"/>
      </w:rPr>
    </w:lvl>
    <w:lvl w:ilvl="1" w:tplc="77C4F6F4">
      <w:numFmt w:val="bullet"/>
      <w:lvlText w:val="•"/>
      <w:lvlJc w:val="left"/>
      <w:pPr>
        <w:ind w:left="642" w:hanging="201"/>
      </w:pPr>
      <w:rPr>
        <w:rFonts w:hint="default"/>
        <w:lang w:val="hr-HR" w:eastAsia="hr-HR" w:bidi="hr-HR"/>
      </w:rPr>
    </w:lvl>
    <w:lvl w:ilvl="2" w:tplc="6F0A510C">
      <w:numFmt w:val="bullet"/>
      <w:lvlText w:val="•"/>
      <w:lvlJc w:val="left"/>
      <w:pPr>
        <w:ind w:left="1184" w:hanging="201"/>
      </w:pPr>
      <w:rPr>
        <w:rFonts w:hint="default"/>
        <w:lang w:val="hr-HR" w:eastAsia="hr-HR" w:bidi="hr-HR"/>
      </w:rPr>
    </w:lvl>
    <w:lvl w:ilvl="3" w:tplc="B43611E4">
      <w:numFmt w:val="bullet"/>
      <w:lvlText w:val="•"/>
      <w:lvlJc w:val="left"/>
      <w:pPr>
        <w:ind w:left="1726" w:hanging="201"/>
      </w:pPr>
      <w:rPr>
        <w:rFonts w:hint="default"/>
        <w:lang w:val="hr-HR" w:eastAsia="hr-HR" w:bidi="hr-HR"/>
      </w:rPr>
    </w:lvl>
    <w:lvl w:ilvl="4" w:tplc="A62427C4">
      <w:numFmt w:val="bullet"/>
      <w:lvlText w:val="•"/>
      <w:lvlJc w:val="left"/>
      <w:pPr>
        <w:ind w:left="2268" w:hanging="201"/>
      </w:pPr>
      <w:rPr>
        <w:rFonts w:hint="default"/>
        <w:lang w:val="hr-HR" w:eastAsia="hr-HR" w:bidi="hr-HR"/>
      </w:rPr>
    </w:lvl>
    <w:lvl w:ilvl="5" w:tplc="F79018CE">
      <w:numFmt w:val="bullet"/>
      <w:lvlText w:val="•"/>
      <w:lvlJc w:val="left"/>
      <w:pPr>
        <w:ind w:left="2810" w:hanging="201"/>
      </w:pPr>
      <w:rPr>
        <w:rFonts w:hint="default"/>
        <w:lang w:val="hr-HR" w:eastAsia="hr-HR" w:bidi="hr-HR"/>
      </w:rPr>
    </w:lvl>
    <w:lvl w:ilvl="6" w:tplc="F0046E82">
      <w:numFmt w:val="bullet"/>
      <w:lvlText w:val="•"/>
      <w:lvlJc w:val="left"/>
      <w:pPr>
        <w:ind w:left="3352" w:hanging="201"/>
      </w:pPr>
      <w:rPr>
        <w:rFonts w:hint="default"/>
        <w:lang w:val="hr-HR" w:eastAsia="hr-HR" w:bidi="hr-HR"/>
      </w:rPr>
    </w:lvl>
    <w:lvl w:ilvl="7" w:tplc="FF62F5C0">
      <w:numFmt w:val="bullet"/>
      <w:lvlText w:val="•"/>
      <w:lvlJc w:val="left"/>
      <w:pPr>
        <w:ind w:left="3894" w:hanging="201"/>
      </w:pPr>
      <w:rPr>
        <w:rFonts w:hint="default"/>
        <w:lang w:val="hr-HR" w:eastAsia="hr-HR" w:bidi="hr-HR"/>
      </w:rPr>
    </w:lvl>
    <w:lvl w:ilvl="8" w:tplc="47003142">
      <w:numFmt w:val="bullet"/>
      <w:lvlText w:val="•"/>
      <w:lvlJc w:val="left"/>
      <w:pPr>
        <w:ind w:left="4436" w:hanging="201"/>
      </w:pPr>
      <w:rPr>
        <w:rFonts w:hint="default"/>
        <w:lang w:val="hr-HR" w:eastAsia="hr-HR" w:bidi="hr-HR"/>
      </w:rPr>
    </w:lvl>
  </w:abstractNum>
  <w:abstractNum w:abstractNumId="5" w15:restartNumberingAfterBreak="0">
    <w:nsid w:val="4E350C4E"/>
    <w:multiLevelType w:val="hybridMultilevel"/>
    <w:tmpl w:val="57A8255C"/>
    <w:lvl w:ilvl="0" w:tplc="B5761FE8">
      <w:start w:val="1"/>
      <w:numFmt w:val="lowerLetter"/>
      <w:lvlText w:val="%1)"/>
      <w:lvlJc w:val="left"/>
      <w:pPr>
        <w:ind w:left="107" w:hanging="201"/>
        <w:jc w:val="left"/>
      </w:pPr>
      <w:rPr>
        <w:rFonts w:ascii="Tahoma" w:eastAsia="Tahoma" w:hAnsi="Tahoma" w:cs="Tahoma" w:hint="default"/>
        <w:spacing w:val="-1"/>
        <w:w w:val="100"/>
        <w:sz w:val="20"/>
        <w:szCs w:val="20"/>
        <w:lang w:val="hr-HR" w:eastAsia="hr-HR" w:bidi="hr-HR"/>
      </w:rPr>
    </w:lvl>
    <w:lvl w:ilvl="1" w:tplc="8EDC0C86">
      <w:numFmt w:val="bullet"/>
      <w:lvlText w:val="•"/>
      <w:lvlJc w:val="left"/>
      <w:pPr>
        <w:ind w:left="642" w:hanging="201"/>
      </w:pPr>
      <w:rPr>
        <w:rFonts w:hint="default"/>
        <w:lang w:val="hr-HR" w:eastAsia="hr-HR" w:bidi="hr-HR"/>
      </w:rPr>
    </w:lvl>
    <w:lvl w:ilvl="2" w:tplc="DC9CEF5A">
      <w:numFmt w:val="bullet"/>
      <w:lvlText w:val="•"/>
      <w:lvlJc w:val="left"/>
      <w:pPr>
        <w:ind w:left="1184" w:hanging="201"/>
      </w:pPr>
      <w:rPr>
        <w:rFonts w:hint="default"/>
        <w:lang w:val="hr-HR" w:eastAsia="hr-HR" w:bidi="hr-HR"/>
      </w:rPr>
    </w:lvl>
    <w:lvl w:ilvl="3" w:tplc="CDB89746">
      <w:numFmt w:val="bullet"/>
      <w:lvlText w:val="•"/>
      <w:lvlJc w:val="left"/>
      <w:pPr>
        <w:ind w:left="1726" w:hanging="201"/>
      </w:pPr>
      <w:rPr>
        <w:rFonts w:hint="default"/>
        <w:lang w:val="hr-HR" w:eastAsia="hr-HR" w:bidi="hr-HR"/>
      </w:rPr>
    </w:lvl>
    <w:lvl w:ilvl="4" w:tplc="C2C0CB8E">
      <w:numFmt w:val="bullet"/>
      <w:lvlText w:val="•"/>
      <w:lvlJc w:val="left"/>
      <w:pPr>
        <w:ind w:left="2268" w:hanging="201"/>
      </w:pPr>
      <w:rPr>
        <w:rFonts w:hint="default"/>
        <w:lang w:val="hr-HR" w:eastAsia="hr-HR" w:bidi="hr-HR"/>
      </w:rPr>
    </w:lvl>
    <w:lvl w:ilvl="5" w:tplc="C37CFB46">
      <w:numFmt w:val="bullet"/>
      <w:lvlText w:val="•"/>
      <w:lvlJc w:val="left"/>
      <w:pPr>
        <w:ind w:left="2810" w:hanging="201"/>
      </w:pPr>
      <w:rPr>
        <w:rFonts w:hint="default"/>
        <w:lang w:val="hr-HR" w:eastAsia="hr-HR" w:bidi="hr-HR"/>
      </w:rPr>
    </w:lvl>
    <w:lvl w:ilvl="6" w:tplc="61DA723A">
      <w:numFmt w:val="bullet"/>
      <w:lvlText w:val="•"/>
      <w:lvlJc w:val="left"/>
      <w:pPr>
        <w:ind w:left="3352" w:hanging="201"/>
      </w:pPr>
      <w:rPr>
        <w:rFonts w:hint="default"/>
        <w:lang w:val="hr-HR" w:eastAsia="hr-HR" w:bidi="hr-HR"/>
      </w:rPr>
    </w:lvl>
    <w:lvl w:ilvl="7" w:tplc="B542274E">
      <w:numFmt w:val="bullet"/>
      <w:lvlText w:val="•"/>
      <w:lvlJc w:val="left"/>
      <w:pPr>
        <w:ind w:left="3894" w:hanging="201"/>
      </w:pPr>
      <w:rPr>
        <w:rFonts w:hint="default"/>
        <w:lang w:val="hr-HR" w:eastAsia="hr-HR" w:bidi="hr-HR"/>
      </w:rPr>
    </w:lvl>
    <w:lvl w:ilvl="8" w:tplc="4E962930">
      <w:numFmt w:val="bullet"/>
      <w:lvlText w:val="•"/>
      <w:lvlJc w:val="left"/>
      <w:pPr>
        <w:ind w:left="4436" w:hanging="201"/>
      </w:pPr>
      <w:rPr>
        <w:rFonts w:hint="default"/>
        <w:lang w:val="hr-HR" w:eastAsia="hr-HR" w:bidi="hr-HR"/>
      </w:rPr>
    </w:lvl>
  </w:abstractNum>
  <w:abstractNum w:abstractNumId="6" w15:restartNumberingAfterBreak="0">
    <w:nsid w:val="6E6C04D5"/>
    <w:multiLevelType w:val="hybridMultilevel"/>
    <w:tmpl w:val="2CF2B61E"/>
    <w:lvl w:ilvl="0" w:tplc="1FC062E2">
      <w:numFmt w:val="bullet"/>
      <w:lvlText w:val="-"/>
      <w:lvlJc w:val="left"/>
      <w:pPr>
        <w:ind w:left="1077" w:hanging="149"/>
      </w:pPr>
      <w:rPr>
        <w:rFonts w:ascii="Tahoma" w:eastAsia="Tahoma" w:hAnsi="Tahoma" w:cs="Tahoma" w:hint="default"/>
        <w:w w:val="100"/>
        <w:sz w:val="22"/>
        <w:szCs w:val="22"/>
        <w:lang w:val="hr-HR" w:eastAsia="hr-HR" w:bidi="hr-HR"/>
      </w:rPr>
    </w:lvl>
    <w:lvl w:ilvl="1" w:tplc="04743326">
      <w:numFmt w:val="bullet"/>
      <w:lvlText w:val="•"/>
      <w:lvlJc w:val="left"/>
      <w:pPr>
        <w:ind w:left="2068" w:hanging="149"/>
      </w:pPr>
      <w:rPr>
        <w:rFonts w:hint="default"/>
        <w:lang w:val="hr-HR" w:eastAsia="hr-HR" w:bidi="hr-HR"/>
      </w:rPr>
    </w:lvl>
    <w:lvl w:ilvl="2" w:tplc="BB901DA8">
      <w:numFmt w:val="bullet"/>
      <w:lvlText w:val="•"/>
      <w:lvlJc w:val="left"/>
      <w:pPr>
        <w:ind w:left="3057" w:hanging="149"/>
      </w:pPr>
      <w:rPr>
        <w:rFonts w:hint="default"/>
        <w:lang w:val="hr-HR" w:eastAsia="hr-HR" w:bidi="hr-HR"/>
      </w:rPr>
    </w:lvl>
    <w:lvl w:ilvl="3" w:tplc="37704096">
      <w:numFmt w:val="bullet"/>
      <w:lvlText w:val="•"/>
      <w:lvlJc w:val="left"/>
      <w:pPr>
        <w:ind w:left="4045" w:hanging="149"/>
      </w:pPr>
      <w:rPr>
        <w:rFonts w:hint="default"/>
        <w:lang w:val="hr-HR" w:eastAsia="hr-HR" w:bidi="hr-HR"/>
      </w:rPr>
    </w:lvl>
    <w:lvl w:ilvl="4" w:tplc="3F54F284">
      <w:numFmt w:val="bullet"/>
      <w:lvlText w:val="•"/>
      <w:lvlJc w:val="left"/>
      <w:pPr>
        <w:ind w:left="5034" w:hanging="149"/>
      </w:pPr>
      <w:rPr>
        <w:rFonts w:hint="default"/>
        <w:lang w:val="hr-HR" w:eastAsia="hr-HR" w:bidi="hr-HR"/>
      </w:rPr>
    </w:lvl>
    <w:lvl w:ilvl="5" w:tplc="407072B4">
      <w:numFmt w:val="bullet"/>
      <w:lvlText w:val="•"/>
      <w:lvlJc w:val="left"/>
      <w:pPr>
        <w:ind w:left="6023" w:hanging="149"/>
      </w:pPr>
      <w:rPr>
        <w:rFonts w:hint="default"/>
        <w:lang w:val="hr-HR" w:eastAsia="hr-HR" w:bidi="hr-HR"/>
      </w:rPr>
    </w:lvl>
    <w:lvl w:ilvl="6" w:tplc="CA329EB0">
      <w:numFmt w:val="bullet"/>
      <w:lvlText w:val="•"/>
      <w:lvlJc w:val="left"/>
      <w:pPr>
        <w:ind w:left="7011" w:hanging="149"/>
      </w:pPr>
      <w:rPr>
        <w:rFonts w:hint="default"/>
        <w:lang w:val="hr-HR" w:eastAsia="hr-HR" w:bidi="hr-HR"/>
      </w:rPr>
    </w:lvl>
    <w:lvl w:ilvl="7" w:tplc="3A7E8062">
      <w:numFmt w:val="bullet"/>
      <w:lvlText w:val="•"/>
      <w:lvlJc w:val="left"/>
      <w:pPr>
        <w:ind w:left="8000" w:hanging="149"/>
      </w:pPr>
      <w:rPr>
        <w:rFonts w:hint="default"/>
        <w:lang w:val="hr-HR" w:eastAsia="hr-HR" w:bidi="hr-HR"/>
      </w:rPr>
    </w:lvl>
    <w:lvl w:ilvl="8" w:tplc="AD727548">
      <w:numFmt w:val="bullet"/>
      <w:lvlText w:val="•"/>
      <w:lvlJc w:val="left"/>
      <w:pPr>
        <w:ind w:left="8989" w:hanging="149"/>
      </w:pPr>
      <w:rPr>
        <w:rFonts w:hint="default"/>
        <w:lang w:val="hr-HR" w:eastAsia="hr-HR" w:bidi="hr-HR"/>
      </w:rPr>
    </w:lvl>
  </w:abstractNum>
  <w:num w:numId="1" w16cid:durableId="942029715">
    <w:abstractNumId w:val="3"/>
  </w:num>
  <w:num w:numId="2" w16cid:durableId="2070028423">
    <w:abstractNumId w:val="1"/>
  </w:num>
  <w:num w:numId="3" w16cid:durableId="592012729">
    <w:abstractNumId w:val="0"/>
  </w:num>
  <w:num w:numId="4" w16cid:durableId="435711970">
    <w:abstractNumId w:val="5"/>
  </w:num>
  <w:num w:numId="5" w16cid:durableId="570501940">
    <w:abstractNumId w:val="4"/>
  </w:num>
  <w:num w:numId="6" w16cid:durableId="373770478">
    <w:abstractNumId w:val="2"/>
  </w:num>
  <w:num w:numId="7" w16cid:durableId="73162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68F"/>
    <w:rsid w:val="001E1492"/>
    <w:rsid w:val="002A683D"/>
    <w:rsid w:val="002B07BB"/>
    <w:rsid w:val="005545AF"/>
    <w:rsid w:val="00607FEB"/>
    <w:rsid w:val="006333B3"/>
    <w:rsid w:val="00654FA0"/>
    <w:rsid w:val="007C626B"/>
    <w:rsid w:val="0096589E"/>
    <w:rsid w:val="00977AFC"/>
    <w:rsid w:val="00A06FB5"/>
    <w:rsid w:val="00AC4AEC"/>
    <w:rsid w:val="00AC7B29"/>
    <w:rsid w:val="00DA719B"/>
    <w:rsid w:val="00D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3375"/>
  <w15:docId w15:val="{C9E8FC40-954E-478F-A720-030C9838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hr-HR" w:eastAsia="hr-HR" w:bidi="hr-HR"/>
    </w:rPr>
  </w:style>
  <w:style w:type="paragraph" w:styleId="Heading1">
    <w:name w:val="heading 1"/>
    <w:basedOn w:val="Normal"/>
    <w:uiPriority w:val="1"/>
    <w:qFormat/>
    <w:pPr>
      <w:ind w:left="220" w:right="177" w:firstLine="70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 w:hanging="360"/>
    </w:p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Grbac Tanja</dc:creator>
  <cp:lastModifiedBy>Marija Randić</cp:lastModifiedBy>
  <cp:revision>8</cp:revision>
  <dcterms:created xsi:type="dcterms:W3CDTF">2022-02-04T11:46:00Z</dcterms:created>
  <dcterms:modified xsi:type="dcterms:W3CDTF">2026-01-05T12:09:00Z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2019-01-23T00:00:00Z</vt:filetime>
  </property>
</Properties>
</file>