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B250D" w14:paraId="59BC7D15" w14:textId="77777777">
        <w:tblPrEx>
          <w:tblCellMar>
            <w:top w:w="0" w:type="dxa"/>
            <w:bottom w:w="0" w:type="dxa"/>
          </w:tblCellMar>
        </w:tblPrEx>
        <w:trPr>
          <w:tblCellSpacing w:w="60" w:type="dxa"/>
        </w:trPr>
        <w:tc>
          <w:tcPr>
            <w:tcW w:w="1200" w:type="pct"/>
            <w:shd w:val="clear" w:color="auto" w:fill="E7F0F9"/>
          </w:tcPr>
          <w:p w14:paraId="15D5659B" w14:textId="77777777" w:rsidR="001B250D" w:rsidRDefault="00000000">
            <w:pPr>
              <w:spacing w:after="0" w:line="240" w:lineRule="auto"/>
            </w:pPr>
            <w:r>
              <w:rPr>
                <w:b/>
              </w:rPr>
              <w:t>RKP broj</w:t>
            </w:r>
          </w:p>
        </w:tc>
        <w:tc>
          <w:tcPr>
            <w:tcW w:w="0" w:type="auto"/>
            <w:shd w:val="clear" w:color="auto" w:fill="E7F0F9"/>
          </w:tcPr>
          <w:p w14:paraId="36A7AD9F" w14:textId="77777777" w:rsidR="001B250D" w:rsidRDefault="00000000">
            <w:pPr>
              <w:spacing w:after="0" w:line="240" w:lineRule="auto"/>
            </w:pPr>
            <w:r>
              <w:t>30961</w:t>
            </w:r>
          </w:p>
        </w:tc>
      </w:tr>
      <w:tr w:rsidR="001B250D" w14:paraId="661662DB" w14:textId="77777777">
        <w:tblPrEx>
          <w:tblCellMar>
            <w:top w:w="0" w:type="dxa"/>
            <w:bottom w:w="0" w:type="dxa"/>
          </w:tblCellMar>
        </w:tblPrEx>
        <w:trPr>
          <w:tblCellSpacing w:w="60" w:type="dxa"/>
        </w:trPr>
        <w:tc>
          <w:tcPr>
            <w:tcW w:w="1200" w:type="pct"/>
            <w:shd w:val="clear" w:color="auto" w:fill="E7F0F9"/>
          </w:tcPr>
          <w:p w14:paraId="2F17840B" w14:textId="77777777" w:rsidR="001B250D" w:rsidRDefault="00000000">
            <w:pPr>
              <w:spacing w:after="0" w:line="240" w:lineRule="auto"/>
            </w:pPr>
            <w:r>
              <w:rPr>
                <w:b/>
              </w:rPr>
              <w:t>Naziv obveznika</w:t>
            </w:r>
          </w:p>
        </w:tc>
        <w:tc>
          <w:tcPr>
            <w:tcW w:w="0" w:type="auto"/>
            <w:shd w:val="clear" w:color="auto" w:fill="E7F0F9"/>
          </w:tcPr>
          <w:p w14:paraId="343165AD" w14:textId="77777777" w:rsidR="001B250D" w:rsidRDefault="00000000">
            <w:pPr>
              <w:spacing w:after="0" w:line="240" w:lineRule="auto"/>
            </w:pPr>
            <w:r>
              <w:t>GRAD OPATIJA</w:t>
            </w:r>
          </w:p>
        </w:tc>
      </w:tr>
      <w:tr w:rsidR="001B250D" w14:paraId="334FF9AB" w14:textId="77777777">
        <w:tblPrEx>
          <w:tblCellMar>
            <w:top w:w="0" w:type="dxa"/>
            <w:bottom w:w="0" w:type="dxa"/>
          </w:tblCellMar>
        </w:tblPrEx>
        <w:trPr>
          <w:tblCellSpacing w:w="60" w:type="dxa"/>
        </w:trPr>
        <w:tc>
          <w:tcPr>
            <w:tcW w:w="1200" w:type="pct"/>
            <w:shd w:val="clear" w:color="auto" w:fill="E7F0F9"/>
          </w:tcPr>
          <w:p w14:paraId="03DB5091" w14:textId="77777777" w:rsidR="001B250D" w:rsidRDefault="00000000">
            <w:pPr>
              <w:spacing w:after="0" w:line="240" w:lineRule="auto"/>
            </w:pPr>
            <w:r>
              <w:rPr>
                <w:b/>
              </w:rPr>
              <w:t>Razina</w:t>
            </w:r>
          </w:p>
        </w:tc>
        <w:tc>
          <w:tcPr>
            <w:tcW w:w="0" w:type="auto"/>
            <w:shd w:val="clear" w:color="auto" w:fill="E7F0F9"/>
          </w:tcPr>
          <w:p w14:paraId="0FAE7876" w14:textId="77777777" w:rsidR="001B250D" w:rsidRDefault="00000000">
            <w:pPr>
              <w:spacing w:after="0" w:line="240" w:lineRule="auto"/>
            </w:pPr>
            <w:r>
              <w:t>23</w:t>
            </w:r>
          </w:p>
        </w:tc>
      </w:tr>
    </w:tbl>
    <w:p w14:paraId="1E29F4CF" w14:textId="77777777" w:rsidR="001B250D" w:rsidRDefault="00000000">
      <w:r>
        <w:br/>
      </w:r>
    </w:p>
    <w:p w14:paraId="4AA15AF4" w14:textId="77777777" w:rsidR="001B250D" w:rsidRDefault="00000000">
      <w:pPr>
        <w:spacing w:line="240" w:lineRule="auto"/>
        <w:jc w:val="center"/>
      </w:pPr>
      <w:r>
        <w:rPr>
          <w:b/>
          <w:sz w:val="28"/>
        </w:rPr>
        <w:t>BILJEŠKE UZ FINANCIJSKE IZVJEŠTAJE</w:t>
      </w:r>
    </w:p>
    <w:p w14:paraId="2B2B0D7F" w14:textId="77777777" w:rsidR="001B250D" w:rsidRDefault="00000000">
      <w:pPr>
        <w:spacing w:line="240" w:lineRule="auto"/>
        <w:jc w:val="center"/>
      </w:pPr>
      <w:r>
        <w:rPr>
          <w:b/>
          <w:sz w:val="28"/>
        </w:rPr>
        <w:t>ZA RAZDOBLJE</w:t>
      </w:r>
    </w:p>
    <w:p w14:paraId="2DB18639" w14:textId="77777777" w:rsidR="001B250D" w:rsidRDefault="00000000">
      <w:pPr>
        <w:spacing w:line="240" w:lineRule="auto"/>
        <w:jc w:val="center"/>
      </w:pPr>
      <w:r>
        <w:rPr>
          <w:b/>
          <w:sz w:val="28"/>
        </w:rPr>
        <w:t>I - XII 2025.</w:t>
      </w:r>
    </w:p>
    <w:p w14:paraId="0E76FE52" w14:textId="77777777" w:rsidR="001B250D" w:rsidRDefault="001B250D"/>
    <w:p w14:paraId="06073974" w14:textId="77777777" w:rsidR="001B250D" w:rsidRDefault="00000000">
      <w:pPr>
        <w:keepNext/>
        <w:spacing w:line="240" w:lineRule="auto"/>
        <w:jc w:val="center"/>
      </w:pPr>
      <w:r>
        <w:rPr>
          <w:b/>
          <w:sz w:val="28"/>
        </w:rPr>
        <w:t>Izvještaj o prihodima i rashodima, primicima i izdacima</w:t>
      </w:r>
    </w:p>
    <w:p w14:paraId="5E33CA51" w14:textId="77777777" w:rsidR="001B250D"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6EBE44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E56197"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DDA15E"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845FDF"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5EEE37"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E585BA"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4810EE" w14:textId="77777777" w:rsidR="001B250D" w:rsidRDefault="00000000">
            <w:pPr>
              <w:keepNext/>
              <w:keepLines/>
              <w:spacing w:after="0" w:line="240" w:lineRule="auto"/>
              <w:jc w:val="center"/>
            </w:pPr>
            <w:r>
              <w:rPr>
                <w:b/>
                <w:sz w:val="18"/>
              </w:rPr>
              <w:t>Indeks (%)</w:t>
            </w:r>
          </w:p>
        </w:tc>
      </w:tr>
      <w:tr w:rsidR="001B250D" w14:paraId="143500E0" w14:textId="77777777">
        <w:tblPrEx>
          <w:tblCellMar>
            <w:top w:w="0" w:type="dxa"/>
            <w:bottom w:w="0" w:type="dxa"/>
          </w:tblCellMar>
        </w:tblPrEx>
        <w:trPr>
          <w:cantSplit/>
          <w:trHeight w:val="560"/>
        </w:trPr>
        <w:tc>
          <w:tcPr>
            <w:tcW w:w="700" w:type="dxa"/>
            <w:tcMar>
              <w:top w:w="0" w:type="dxa"/>
              <w:bottom w:w="0" w:type="dxa"/>
            </w:tcMar>
            <w:vAlign w:val="center"/>
          </w:tcPr>
          <w:p w14:paraId="14593ACE" w14:textId="77777777" w:rsidR="001B250D" w:rsidRDefault="00000000">
            <w:pPr>
              <w:keepNext/>
              <w:keepLines/>
              <w:spacing w:after="0" w:line="240" w:lineRule="auto"/>
            </w:pPr>
            <w:r>
              <w:rPr>
                <w:sz w:val="18"/>
              </w:rPr>
              <w:t>6</w:t>
            </w:r>
          </w:p>
        </w:tc>
        <w:tc>
          <w:tcPr>
            <w:tcW w:w="3180" w:type="dxa"/>
            <w:tcMar>
              <w:top w:w="0" w:type="dxa"/>
              <w:bottom w:w="0" w:type="dxa"/>
            </w:tcMar>
            <w:vAlign w:val="center"/>
          </w:tcPr>
          <w:p w14:paraId="3E31B94B" w14:textId="77777777" w:rsidR="001B250D"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49E3E87" w14:textId="77777777" w:rsidR="001B250D" w:rsidRDefault="00000000">
            <w:pPr>
              <w:keepNext/>
              <w:keepLines/>
              <w:spacing w:after="0" w:line="240" w:lineRule="auto"/>
            </w:pPr>
            <w:r>
              <w:rPr>
                <w:sz w:val="18"/>
              </w:rPr>
              <w:t>6</w:t>
            </w:r>
          </w:p>
        </w:tc>
        <w:tc>
          <w:tcPr>
            <w:tcW w:w="1860" w:type="dxa"/>
            <w:tcMar>
              <w:top w:w="0" w:type="dxa"/>
              <w:bottom w:w="0" w:type="dxa"/>
            </w:tcMar>
            <w:vAlign w:val="center"/>
          </w:tcPr>
          <w:p w14:paraId="15D17113" w14:textId="77777777" w:rsidR="001B250D" w:rsidRDefault="00000000">
            <w:pPr>
              <w:keepNext/>
              <w:keepLines/>
              <w:spacing w:after="0" w:line="240" w:lineRule="auto"/>
              <w:jc w:val="right"/>
            </w:pPr>
            <w:r>
              <w:rPr>
                <w:sz w:val="18"/>
              </w:rPr>
              <w:t>27.307.009,59</w:t>
            </w:r>
          </w:p>
        </w:tc>
        <w:tc>
          <w:tcPr>
            <w:tcW w:w="1860" w:type="dxa"/>
            <w:tcMar>
              <w:top w:w="0" w:type="dxa"/>
              <w:bottom w:w="0" w:type="dxa"/>
            </w:tcMar>
            <w:vAlign w:val="center"/>
          </w:tcPr>
          <w:p w14:paraId="1EEBA9F1" w14:textId="77777777" w:rsidR="001B250D" w:rsidRDefault="00000000">
            <w:pPr>
              <w:keepNext/>
              <w:keepLines/>
              <w:spacing w:after="0" w:line="240" w:lineRule="auto"/>
              <w:jc w:val="right"/>
            </w:pPr>
            <w:r>
              <w:rPr>
                <w:sz w:val="18"/>
              </w:rPr>
              <w:t>30.812.076,73</w:t>
            </w:r>
          </w:p>
        </w:tc>
        <w:tc>
          <w:tcPr>
            <w:tcW w:w="700" w:type="dxa"/>
            <w:tcMar>
              <w:top w:w="0" w:type="dxa"/>
              <w:bottom w:w="0" w:type="dxa"/>
            </w:tcMar>
            <w:vAlign w:val="center"/>
          </w:tcPr>
          <w:p w14:paraId="51E33354" w14:textId="77777777" w:rsidR="001B250D" w:rsidRDefault="00000000">
            <w:pPr>
              <w:keepNext/>
              <w:keepLines/>
              <w:spacing w:after="0" w:line="240" w:lineRule="auto"/>
              <w:jc w:val="right"/>
            </w:pPr>
            <w:r>
              <w:rPr>
                <w:sz w:val="18"/>
              </w:rPr>
              <w:t>112,8</w:t>
            </w:r>
          </w:p>
        </w:tc>
      </w:tr>
      <w:tr w:rsidR="001B250D" w14:paraId="57E4561B" w14:textId="77777777">
        <w:tblPrEx>
          <w:tblCellMar>
            <w:top w:w="0" w:type="dxa"/>
            <w:bottom w:w="0" w:type="dxa"/>
          </w:tblCellMar>
        </w:tblPrEx>
        <w:trPr>
          <w:cantSplit/>
          <w:trHeight w:val="560"/>
        </w:trPr>
        <w:tc>
          <w:tcPr>
            <w:tcW w:w="700" w:type="dxa"/>
            <w:tcMar>
              <w:top w:w="0" w:type="dxa"/>
              <w:bottom w:w="0" w:type="dxa"/>
            </w:tcMar>
            <w:vAlign w:val="center"/>
          </w:tcPr>
          <w:p w14:paraId="506F3F4E" w14:textId="77777777" w:rsidR="001B250D" w:rsidRDefault="00000000">
            <w:pPr>
              <w:keepNext/>
              <w:keepLines/>
              <w:spacing w:after="0" w:line="240" w:lineRule="auto"/>
            </w:pPr>
            <w:r>
              <w:rPr>
                <w:sz w:val="18"/>
              </w:rPr>
              <w:t>3</w:t>
            </w:r>
          </w:p>
        </w:tc>
        <w:tc>
          <w:tcPr>
            <w:tcW w:w="3180" w:type="dxa"/>
            <w:tcMar>
              <w:top w:w="0" w:type="dxa"/>
              <w:bottom w:w="0" w:type="dxa"/>
            </w:tcMar>
            <w:vAlign w:val="center"/>
          </w:tcPr>
          <w:p w14:paraId="56DC7A70" w14:textId="77777777" w:rsidR="001B250D"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351F221" w14:textId="77777777" w:rsidR="001B250D" w:rsidRDefault="00000000">
            <w:pPr>
              <w:keepNext/>
              <w:keepLines/>
              <w:spacing w:after="0" w:line="240" w:lineRule="auto"/>
            </w:pPr>
            <w:r>
              <w:rPr>
                <w:sz w:val="18"/>
              </w:rPr>
              <w:t>3</w:t>
            </w:r>
          </w:p>
        </w:tc>
        <w:tc>
          <w:tcPr>
            <w:tcW w:w="1860" w:type="dxa"/>
            <w:tcMar>
              <w:top w:w="0" w:type="dxa"/>
              <w:bottom w:w="0" w:type="dxa"/>
            </w:tcMar>
            <w:vAlign w:val="center"/>
          </w:tcPr>
          <w:p w14:paraId="59C2B4DA" w14:textId="77777777" w:rsidR="001B250D" w:rsidRDefault="00000000">
            <w:pPr>
              <w:keepNext/>
              <w:keepLines/>
              <w:spacing w:after="0" w:line="240" w:lineRule="auto"/>
              <w:jc w:val="right"/>
            </w:pPr>
            <w:r>
              <w:rPr>
                <w:sz w:val="18"/>
              </w:rPr>
              <w:t>25.800.502,88</w:t>
            </w:r>
          </w:p>
        </w:tc>
        <w:tc>
          <w:tcPr>
            <w:tcW w:w="1860" w:type="dxa"/>
            <w:tcMar>
              <w:top w:w="0" w:type="dxa"/>
              <w:bottom w:w="0" w:type="dxa"/>
            </w:tcMar>
            <w:vAlign w:val="center"/>
          </w:tcPr>
          <w:p w14:paraId="1DA0F95F" w14:textId="77777777" w:rsidR="001B250D" w:rsidRDefault="00000000">
            <w:pPr>
              <w:keepNext/>
              <w:keepLines/>
              <w:spacing w:after="0" w:line="240" w:lineRule="auto"/>
              <w:jc w:val="right"/>
            </w:pPr>
            <w:r>
              <w:rPr>
                <w:sz w:val="18"/>
              </w:rPr>
              <w:t>30.400.811,69</w:t>
            </w:r>
          </w:p>
        </w:tc>
        <w:tc>
          <w:tcPr>
            <w:tcW w:w="700" w:type="dxa"/>
            <w:tcMar>
              <w:top w:w="0" w:type="dxa"/>
              <w:bottom w:w="0" w:type="dxa"/>
            </w:tcMar>
            <w:vAlign w:val="center"/>
          </w:tcPr>
          <w:p w14:paraId="438B73C0" w14:textId="77777777" w:rsidR="001B250D" w:rsidRDefault="00000000">
            <w:pPr>
              <w:keepNext/>
              <w:keepLines/>
              <w:spacing w:after="0" w:line="240" w:lineRule="auto"/>
              <w:jc w:val="right"/>
            </w:pPr>
            <w:r>
              <w:rPr>
                <w:sz w:val="18"/>
              </w:rPr>
              <w:t>117,8</w:t>
            </w:r>
          </w:p>
        </w:tc>
      </w:tr>
      <w:tr w:rsidR="001B250D" w14:paraId="0AFD6D15" w14:textId="77777777">
        <w:tblPrEx>
          <w:tblCellMar>
            <w:top w:w="0" w:type="dxa"/>
            <w:bottom w:w="0" w:type="dxa"/>
          </w:tblCellMar>
        </w:tblPrEx>
        <w:trPr>
          <w:cantSplit/>
          <w:trHeight w:val="560"/>
        </w:trPr>
        <w:tc>
          <w:tcPr>
            <w:tcW w:w="700" w:type="dxa"/>
            <w:tcMar>
              <w:top w:w="0" w:type="dxa"/>
              <w:bottom w:w="0" w:type="dxa"/>
            </w:tcMar>
            <w:vAlign w:val="center"/>
          </w:tcPr>
          <w:p w14:paraId="6DC81CFA" w14:textId="77777777" w:rsidR="001B250D" w:rsidRDefault="001B250D">
            <w:pPr>
              <w:keepNext/>
              <w:keepLines/>
              <w:spacing w:after="0" w:line="240" w:lineRule="auto"/>
            </w:pPr>
          </w:p>
        </w:tc>
        <w:tc>
          <w:tcPr>
            <w:tcW w:w="3180" w:type="dxa"/>
            <w:tcMar>
              <w:top w:w="0" w:type="dxa"/>
              <w:bottom w:w="0" w:type="dxa"/>
            </w:tcMar>
            <w:vAlign w:val="center"/>
          </w:tcPr>
          <w:p w14:paraId="310C947D" w14:textId="77777777" w:rsidR="001B250D"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AA94804" w14:textId="77777777" w:rsidR="001B250D" w:rsidRDefault="00000000">
            <w:pPr>
              <w:keepNext/>
              <w:keepLines/>
              <w:spacing w:after="0" w:line="240" w:lineRule="auto"/>
            </w:pPr>
            <w:r>
              <w:rPr>
                <w:b/>
                <w:sz w:val="18"/>
              </w:rPr>
              <w:t>X001</w:t>
            </w:r>
          </w:p>
        </w:tc>
        <w:tc>
          <w:tcPr>
            <w:tcW w:w="1860" w:type="dxa"/>
            <w:tcMar>
              <w:top w:w="0" w:type="dxa"/>
              <w:bottom w:w="0" w:type="dxa"/>
            </w:tcMar>
            <w:vAlign w:val="center"/>
          </w:tcPr>
          <w:p w14:paraId="5B3C9BAA" w14:textId="77777777" w:rsidR="001B250D" w:rsidRDefault="00000000">
            <w:pPr>
              <w:keepNext/>
              <w:keepLines/>
              <w:spacing w:after="0" w:line="240" w:lineRule="auto"/>
              <w:jc w:val="right"/>
            </w:pPr>
            <w:r>
              <w:rPr>
                <w:b/>
                <w:sz w:val="18"/>
              </w:rPr>
              <w:t>1.506.506,71</w:t>
            </w:r>
          </w:p>
        </w:tc>
        <w:tc>
          <w:tcPr>
            <w:tcW w:w="1860" w:type="dxa"/>
            <w:tcMar>
              <w:top w:w="0" w:type="dxa"/>
              <w:bottom w:w="0" w:type="dxa"/>
            </w:tcMar>
            <w:vAlign w:val="center"/>
          </w:tcPr>
          <w:p w14:paraId="3F2CBD46" w14:textId="77777777" w:rsidR="001B250D" w:rsidRDefault="00000000">
            <w:pPr>
              <w:keepNext/>
              <w:keepLines/>
              <w:spacing w:after="0" w:line="240" w:lineRule="auto"/>
              <w:jc w:val="right"/>
            </w:pPr>
            <w:r>
              <w:rPr>
                <w:b/>
                <w:sz w:val="18"/>
              </w:rPr>
              <w:t>411.265,04</w:t>
            </w:r>
          </w:p>
        </w:tc>
        <w:tc>
          <w:tcPr>
            <w:tcW w:w="700" w:type="dxa"/>
            <w:tcMar>
              <w:top w:w="0" w:type="dxa"/>
              <w:bottom w:w="0" w:type="dxa"/>
            </w:tcMar>
            <w:vAlign w:val="center"/>
          </w:tcPr>
          <w:p w14:paraId="3265EB37" w14:textId="77777777" w:rsidR="001B250D" w:rsidRDefault="00000000">
            <w:pPr>
              <w:keepNext/>
              <w:keepLines/>
              <w:spacing w:after="0" w:line="240" w:lineRule="auto"/>
              <w:jc w:val="right"/>
            </w:pPr>
            <w:r>
              <w:rPr>
                <w:b/>
                <w:sz w:val="18"/>
              </w:rPr>
              <w:t>27,3</w:t>
            </w:r>
          </w:p>
        </w:tc>
      </w:tr>
      <w:tr w:rsidR="001B250D" w14:paraId="656FEAB4" w14:textId="77777777">
        <w:tblPrEx>
          <w:tblCellMar>
            <w:top w:w="0" w:type="dxa"/>
            <w:bottom w:w="0" w:type="dxa"/>
          </w:tblCellMar>
        </w:tblPrEx>
        <w:trPr>
          <w:cantSplit/>
          <w:trHeight w:val="560"/>
        </w:trPr>
        <w:tc>
          <w:tcPr>
            <w:tcW w:w="700" w:type="dxa"/>
            <w:tcMar>
              <w:top w:w="0" w:type="dxa"/>
              <w:bottom w:w="0" w:type="dxa"/>
            </w:tcMar>
            <w:vAlign w:val="center"/>
          </w:tcPr>
          <w:p w14:paraId="374E78C6" w14:textId="77777777" w:rsidR="001B250D" w:rsidRDefault="00000000">
            <w:pPr>
              <w:keepNext/>
              <w:keepLines/>
              <w:spacing w:after="0" w:line="240" w:lineRule="auto"/>
            </w:pPr>
            <w:r>
              <w:rPr>
                <w:sz w:val="18"/>
              </w:rPr>
              <w:t>7</w:t>
            </w:r>
          </w:p>
        </w:tc>
        <w:tc>
          <w:tcPr>
            <w:tcW w:w="3180" w:type="dxa"/>
            <w:tcMar>
              <w:top w:w="0" w:type="dxa"/>
              <w:bottom w:w="0" w:type="dxa"/>
            </w:tcMar>
            <w:vAlign w:val="center"/>
          </w:tcPr>
          <w:p w14:paraId="587C1BF8" w14:textId="77777777" w:rsidR="001B250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C49E358" w14:textId="77777777" w:rsidR="001B250D" w:rsidRDefault="00000000">
            <w:pPr>
              <w:keepNext/>
              <w:keepLines/>
              <w:spacing w:after="0" w:line="240" w:lineRule="auto"/>
            </w:pPr>
            <w:r>
              <w:rPr>
                <w:sz w:val="18"/>
              </w:rPr>
              <w:t>7</w:t>
            </w:r>
          </w:p>
        </w:tc>
        <w:tc>
          <w:tcPr>
            <w:tcW w:w="1860" w:type="dxa"/>
            <w:tcMar>
              <w:top w:w="0" w:type="dxa"/>
              <w:bottom w:w="0" w:type="dxa"/>
            </w:tcMar>
            <w:vAlign w:val="center"/>
          </w:tcPr>
          <w:p w14:paraId="29A3702D" w14:textId="77777777" w:rsidR="001B250D" w:rsidRDefault="00000000">
            <w:pPr>
              <w:keepNext/>
              <w:keepLines/>
              <w:spacing w:after="0" w:line="240" w:lineRule="auto"/>
              <w:jc w:val="right"/>
            </w:pPr>
            <w:r>
              <w:rPr>
                <w:sz w:val="18"/>
              </w:rPr>
              <w:t>712.707,79</w:t>
            </w:r>
          </w:p>
        </w:tc>
        <w:tc>
          <w:tcPr>
            <w:tcW w:w="1860" w:type="dxa"/>
            <w:tcMar>
              <w:top w:w="0" w:type="dxa"/>
              <w:bottom w:w="0" w:type="dxa"/>
            </w:tcMar>
            <w:vAlign w:val="center"/>
          </w:tcPr>
          <w:p w14:paraId="7E133394" w14:textId="77777777" w:rsidR="001B250D" w:rsidRDefault="00000000">
            <w:pPr>
              <w:keepNext/>
              <w:keepLines/>
              <w:spacing w:after="0" w:line="240" w:lineRule="auto"/>
              <w:jc w:val="right"/>
            </w:pPr>
            <w:r>
              <w:rPr>
                <w:sz w:val="18"/>
              </w:rPr>
              <w:t>1.558.456,78</w:t>
            </w:r>
          </w:p>
        </w:tc>
        <w:tc>
          <w:tcPr>
            <w:tcW w:w="700" w:type="dxa"/>
            <w:tcMar>
              <w:top w:w="0" w:type="dxa"/>
              <w:bottom w:w="0" w:type="dxa"/>
            </w:tcMar>
            <w:vAlign w:val="center"/>
          </w:tcPr>
          <w:p w14:paraId="41AEAEAD" w14:textId="77777777" w:rsidR="001B250D" w:rsidRDefault="00000000">
            <w:pPr>
              <w:keepNext/>
              <w:keepLines/>
              <w:spacing w:after="0" w:line="240" w:lineRule="auto"/>
              <w:jc w:val="right"/>
            </w:pPr>
            <w:r>
              <w:rPr>
                <w:sz w:val="18"/>
              </w:rPr>
              <w:t>218,7</w:t>
            </w:r>
          </w:p>
        </w:tc>
      </w:tr>
      <w:tr w:rsidR="001B250D" w14:paraId="64681A4C" w14:textId="77777777">
        <w:tblPrEx>
          <w:tblCellMar>
            <w:top w:w="0" w:type="dxa"/>
            <w:bottom w:w="0" w:type="dxa"/>
          </w:tblCellMar>
        </w:tblPrEx>
        <w:trPr>
          <w:cantSplit/>
          <w:trHeight w:val="560"/>
        </w:trPr>
        <w:tc>
          <w:tcPr>
            <w:tcW w:w="700" w:type="dxa"/>
            <w:tcMar>
              <w:top w:w="0" w:type="dxa"/>
              <w:bottom w:w="0" w:type="dxa"/>
            </w:tcMar>
            <w:vAlign w:val="center"/>
          </w:tcPr>
          <w:p w14:paraId="118BDCA7" w14:textId="77777777" w:rsidR="001B250D" w:rsidRDefault="00000000">
            <w:pPr>
              <w:keepNext/>
              <w:keepLines/>
              <w:spacing w:after="0" w:line="240" w:lineRule="auto"/>
            </w:pPr>
            <w:r>
              <w:rPr>
                <w:sz w:val="18"/>
              </w:rPr>
              <w:t>4</w:t>
            </w:r>
          </w:p>
        </w:tc>
        <w:tc>
          <w:tcPr>
            <w:tcW w:w="3180" w:type="dxa"/>
            <w:tcMar>
              <w:top w:w="0" w:type="dxa"/>
              <w:bottom w:w="0" w:type="dxa"/>
            </w:tcMar>
            <w:vAlign w:val="center"/>
          </w:tcPr>
          <w:p w14:paraId="3D9C9D4D" w14:textId="77777777" w:rsidR="001B250D"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C4B7A60" w14:textId="77777777" w:rsidR="001B250D" w:rsidRDefault="00000000">
            <w:pPr>
              <w:keepNext/>
              <w:keepLines/>
              <w:spacing w:after="0" w:line="240" w:lineRule="auto"/>
            </w:pPr>
            <w:r>
              <w:rPr>
                <w:sz w:val="18"/>
              </w:rPr>
              <w:t>4</w:t>
            </w:r>
          </w:p>
        </w:tc>
        <w:tc>
          <w:tcPr>
            <w:tcW w:w="1860" w:type="dxa"/>
            <w:tcMar>
              <w:top w:w="0" w:type="dxa"/>
              <w:bottom w:w="0" w:type="dxa"/>
            </w:tcMar>
            <w:vAlign w:val="center"/>
          </w:tcPr>
          <w:p w14:paraId="36A281D4" w14:textId="77777777" w:rsidR="001B250D" w:rsidRDefault="00000000">
            <w:pPr>
              <w:keepNext/>
              <w:keepLines/>
              <w:spacing w:after="0" w:line="240" w:lineRule="auto"/>
              <w:jc w:val="right"/>
            </w:pPr>
            <w:r>
              <w:rPr>
                <w:sz w:val="18"/>
              </w:rPr>
              <w:t>4.120.792,27</w:t>
            </w:r>
          </w:p>
        </w:tc>
        <w:tc>
          <w:tcPr>
            <w:tcW w:w="1860" w:type="dxa"/>
            <w:tcMar>
              <w:top w:w="0" w:type="dxa"/>
              <w:bottom w:w="0" w:type="dxa"/>
            </w:tcMar>
            <w:vAlign w:val="center"/>
          </w:tcPr>
          <w:p w14:paraId="135B6A66" w14:textId="77777777" w:rsidR="001B250D" w:rsidRDefault="00000000">
            <w:pPr>
              <w:keepNext/>
              <w:keepLines/>
              <w:spacing w:after="0" w:line="240" w:lineRule="auto"/>
              <w:jc w:val="right"/>
            </w:pPr>
            <w:r>
              <w:rPr>
                <w:sz w:val="18"/>
              </w:rPr>
              <w:t>4.470.742,33</w:t>
            </w:r>
          </w:p>
        </w:tc>
        <w:tc>
          <w:tcPr>
            <w:tcW w:w="700" w:type="dxa"/>
            <w:tcMar>
              <w:top w:w="0" w:type="dxa"/>
              <w:bottom w:w="0" w:type="dxa"/>
            </w:tcMar>
            <w:vAlign w:val="center"/>
          </w:tcPr>
          <w:p w14:paraId="350D905D" w14:textId="77777777" w:rsidR="001B250D" w:rsidRDefault="00000000">
            <w:pPr>
              <w:keepNext/>
              <w:keepLines/>
              <w:spacing w:after="0" w:line="240" w:lineRule="auto"/>
              <w:jc w:val="right"/>
            </w:pPr>
            <w:r>
              <w:rPr>
                <w:sz w:val="18"/>
              </w:rPr>
              <w:t>108,5</w:t>
            </w:r>
          </w:p>
        </w:tc>
      </w:tr>
      <w:tr w:rsidR="001B250D" w14:paraId="49EFBBD7" w14:textId="77777777">
        <w:tblPrEx>
          <w:tblCellMar>
            <w:top w:w="0" w:type="dxa"/>
            <w:bottom w:w="0" w:type="dxa"/>
          </w:tblCellMar>
        </w:tblPrEx>
        <w:trPr>
          <w:cantSplit/>
          <w:trHeight w:val="560"/>
        </w:trPr>
        <w:tc>
          <w:tcPr>
            <w:tcW w:w="700" w:type="dxa"/>
            <w:tcMar>
              <w:top w:w="0" w:type="dxa"/>
              <w:bottom w:w="0" w:type="dxa"/>
            </w:tcMar>
            <w:vAlign w:val="center"/>
          </w:tcPr>
          <w:p w14:paraId="08C5BFA3" w14:textId="77777777" w:rsidR="001B250D" w:rsidRDefault="001B250D">
            <w:pPr>
              <w:keepNext/>
              <w:keepLines/>
              <w:spacing w:after="0" w:line="240" w:lineRule="auto"/>
            </w:pPr>
          </w:p>
        </w:tc>
        <w:tc>
          <w:tcPr>
            <w:tcW w:w="3180" w:type="dxa"/>
            <w:tcMar>
              <w:top w:w="0" w:type="dxa"/>
              <w:bottom w:w="0" w:type="dxa"/>
            </w:tcMar>
            <w:vAlign w:val="center"/>
          </w:tcPr>
          <w:p w14:paraId="25558484" w14:textId="77777777" w:rsidR="001B250D"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CC98D8C" w14:textId="77777777" w:rsidR="001B250D" w:rsidRDefault="00000000">
            <w:pPr>
              <w:keepNext/>
              <w:keepLines/>
              <w:spacing w:after="0" w:line="240" w:lineRule="auto"/>
            </w:pPr>
            <w:r>
              <w:rPr>
                <w:b/>
                <w:sz w:val="18"/>
              </w:rPr>
              <w:t>Y002</w:t>
            </w:r>
          </w:p>
        </w:tc>
        <w:tc>
          <w:tcPr>
            <w:tcW w:w="1860" w:type="dxa"/>
            <w:tcMar>
              <w:top w:w="0" w:type="dxa"/>
              <w:bottom w:w="0" w:type="dxa"/>
            </w:tcMar>
            <w:vAlign w:val="center"/>
          </w:tcPr>
          <w:p w14:paraId="3B482CA5" w14:textId="77777777" w:rsidR="001B250D" w:rsidRDefault="00000000">
            <w:pPr>
              <w:keepNext/>
              <w:keepLines/>
              <w:spacing w:after="0" w:line="240" w:lineRule="auto"/>
              <w:jc w:val="right"/>
            </w:pPr>
            <w:r>
              <w:rPr>
                <w:b/>
                <w:sz w:val="18"/>
              </w:rPr>
              <w:t>3.408.084,48</w:t>
            </w:r>
          </w:p>
        </w:tc>
        <w:tc>
          <w:tcPr>
            <w:tcW w:w="1860" w:type="dxa"/>
            <w:tcMar>
              <w:top w:w="0" w:type="dxa"/>
              <w:bottom w:w="0" w:type="dxa"/>
            </w:tcMar>
            <w:vAlign w:val="center"/>
          </w:tcPr>
          <w:p w14:paraId="5AE58849" w14:textId="77777777" w:rsidR="001B250D" w:rsidRDefault="00000000">
            <w:pPr>
              <w:keepNext/>
              <w:keepLines/>
              <w:spacing w:after="0" w:line="240" w:lineRule="auto"/>
              <w:jc w:val="right"/>
            </w:pPr>
            <w:r>
              <w:rPr>
                <w:b/>
                <w:sz w:val="18"/>
              </w:rPr>
              <w:t>2.912.285,55</w:t>
            </w:r>
          </w:p>
        </w:tc>
        <w:tc>
          <w:tcPr>
            <w:tcW w:w="700" w:type="dxa"/>
            <w:tcMar>
              <w:top w:w="0" w:type="dxa"/>
              <w:bottom w:w="0" w:type="dxa"/>
            </w:tcMar>
            <w:vAlign w:val="center"/>
          </w:tcPr>
          <w:p w14:paraId="32AA4A43" w14:textId="77777777" w:rsidR="001B250D" w:rsidRDefault="00000000">
            <w:pPr>
              <w:keepNext/>
              <w:keepLines/>
              <w:spacing w:after="0" w:line="240" w:lineRule="auto"/>
              <w:jc w:val="right"/>
            </w:pPr>
            <w:r>
              <w:rPr>
                <w:b/>
                <w:sz w:val="18"/>
              </w:rPr>
              <w:t>85,5</w:t>
            </w:r>
          </w:p>
        </w:tc>
      </w:tr>
      <w:tr w:rsidR="001B250D" w14:paraId="675069CA" w14:textId="77777777">
        <w:tblPrEx>
          <w:tblCellMar>
            <w:top w:w="0" w:type="dxa"/>
            <w:bottom w:w="0" w:type="dxa"/>
          </w:tblCellMar>
        </w:tblPrEx>
        <w:trPr>
          <w:cantSplit/>
          <w:trHeight w:val="560"/>
        </w:trPr>
        <w:tc>
          <w:tcPr>
            <w:tcW w:w="700" w:type="dxa"/>
            <w:tcMar>
              <w:top w:w="0" w:type="dxa"/>
              <w:bottom w:w="0" w:type="dxa"/>
            </w:tcMar>
            <w:vAlign w:val="center"/>
          </w:tcPr>
          <w:p w14:paraId="0D05F63C" w14:textId="77777777" w:rsidR="001B250D" w:rsidRDefault="00000000">
            <w:pPr>
              <w:keepNext/>
              <w:keepLines/>
              <w:spacing w:after="0" w:line="240" w:lineRule="auto"/>
            </w:pPr>
            <w:r>
              <w:rPr>
                <w:sz w:val="18"/>
              </w:rPr>
              <w:t>8</w:t>
            </w:r>
          </w:p>
        </w:tc>
        <w:tc>
          <w:tcPr>
            <w:tcW w:w="3180" w:type="dxa"/>
            <w:tcMar>
              <w:top w:w="0" w:type="dxa"/>
              <w:bottom w:w="0" w:type="dxa"/>
            </w:tcMar>
            <w:vAlign w:val="center"/>
          </w:tcPr>
          <w:p w14:paraId="38C40815" w14:textId="77777777" w:rsidR="001B250D"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376CE84" w14:textId="77777777" w:rsidR="001B250D" w:rsidRDefault="00000000">
            <w:pPr>
              <w:keepNext/>
              <w:keepLines/>
              <w:spacing w:after="0" w:line="240" w:lineRule="auto"/>
            </w:pPr>
            <w:r>
              <w:rPr>
                <w:sz w:val="18"/>
              </w:rPr>
              <w:t>8</w:t>
            </w:r>
          </w:p>
        </w:tc>
        <w:tc>
          <w:tcPr>
            <w:tcW w:w="1860" w:type="dxa"/>
            <w:tcMar>
              <w:top w:w="0" w:type="dxa"/>
              <w:bottom w:w="0" w:type="dxa"/>
            </w:tcMar>
            <w:vAlign w:val="center"/>
          </w:tcPr>
          <w:p w14:paraId="0FDD8356"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40042481" w14:textId="77777777" w:rsidR="001B250D" w:rsidRDefault="00000000">
            <w:pPr>
              <w:keepNext/>
              <w:keepLines/>
              <w:spacing w:after="0" w:line="240" w:lineRule="auto"/>
              <w:jc w:val="right"/>
            </w:pPr>
            <w:r>
              <w:rPr>
                <w:sz w:val="18"/>
              </w:rPr>
              <w:t>0,00</w:t>
            </w:r>
          </w:p>
        </w:tc>
        <w:tc>
          <w:tcPr>
            <w:tcW w:w="700" w:type="dxa"/>
            <w:tcMar>
              <w:top w:w="0" w:type="dxa"/>
              <w:bottom w:w="0" w:type="dxa"/>
            </w:tcMar>
            <w:vAlign w:val="center"/>
          </w:tcPr>
          <w:p w14:paraId="79F92D6B" w14:textId="77777777" w:rsidR="001B250D" w:rsidRDefault="00000000">
            <w:pPr>
              <w:keepNext/>
              <w:keepLines/>
              <w:spacing w:after="0" w:line="240" w:lineRule="auto"/>
              <w:jc w:val="right"/>
            </w:pPr>
            <w:r>
              <w:rPr>
                <w:sz w:val="18"/>
              </w:rPr>
              <w:t>-</w:t>
            </w:r>
          </w:p>
        </w:tc>
      </w:tr>
      <w:tr w:rsidR="001B250D" w14:paraId="5FC4295A" w14:textId="77777777">
        <w:tblPrEx>
          <w:tblCellMar>
            <w:top w:w="0" w:type="dxa"/>
            <w:bottom w:w="0" w:type="dxa"/>
          </w:tblCellMar>
        </w:tblPrEx>
        <w:trPr>
          <w:cantSplit/>
          <w:trHeight w:val="560"/>
        </w:trPr>
        <w:tc>
          <w:tcPr>
            <w:tcW w:w="700" w:type="dxa"/>
            <w:tcMar>
              <w:top w:w="0" w:type="dxa"/>
              <w:bottom w:w="0" w:type="dxa"/>
            </w:tcMar>
            <w:vAlign w:val="center"/>
          </w:tcPr>
          <w:p w14:paraId="12F75768" w14:textId="77777777" w:rsidR="001B250D" w:rsidRDefault="00000000">
            <w:pPr>
              <w:keepNext/>
              <w:keepLines/>
              <w:spacing w:after="0" w:line="240" w:lineRule="auto"/>
            </w:pPr>
            <w:r>
              <w:rPr>
                <w:sz w:val="18"/>
              </w:rPr>
              <w:t>5</w:t>
            </w:r>
          </w:p>
        </w:tc>
        <w:tc>
          <w:tcPr>
            <w:tcW w:w="3180" w:type="dxa"/>
            <w:tcMar>
              <w:top w:w="0" w:type="dxa"/>
              <w:bottom w:w="0" w:type="dxa"/>
            </w:tcMar>
            <w:vAlign w:val="center"/>
          </w:tcPr>
          <w:p w14:paraId="35E0EF46" w14:textId="77777777" w:rsidR="001B250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14816A4" w14:textId="77777777" w:rsidR="001B250D" w:rsidRDefault="00000000">
            <w:pPr>
              <w:keepNext/>
              <w:keepLines/>
              <w:spacing w:after="0" w:line="240" w:lineRule="auto"/>
            </w:pPr>
            <w:r>
              <w:rPr>
                <w:sz w:val="18"/>
              </w:rPr>
              <w:t>5</w:t>
            </w:r>
          </w:p>
        </w:tc>
        <w:tc>
          <w:tcPr>
            <w:tcW w:w="1860" w:type="dxa"/>
            <w:tcMar>
              <w:top w:w="0" w:type="dxa"/>
              <w:bottom w:w="0" w:type="dxa"/>
            </w:tcMar>
            <w:vAlign w:val="center"/>
          </w:tcPr>
          <w:p w14:paraId="15994CA0" w14:textId="77777777" w:rsidR="001B250D" w:rsidRDefault="00000000">
            <w:pPr>
              <w:keepNext/>
              <w:keepLines/>
              <w:spacing w:after="0" w:line="240" w:lineRule="auto"/>
              <w:jc w:val="right"/>
            </w:pPr>
            <w:r>
              <w:rPr>
                <w:sz w:val="18"/>
              </w:rPr>
              <w:t>412.919,48</w:t>
            </w:r>
          </w:p>
        </w:tc>
        <w:tc>
          <w:tcPr>
            <w:tcW w:w="1860" w:type="dxa"/>
            <w:tcMar>
              <w:top w:w="0" w:type="dxa"/>
              <w:bottom w:w="0" w:type="dxa"/>
            </w:tcMar>
            <w:vAlign w:val="center"/>
          </w:tcPr>
          <w:p w14:paraId="351D4EB2" w14:textId="77777777" w:rsidR="001B250D" w:rsidRDefault="00000000">
            <w:pPr>
              <w:keepNext/>
              <w:keepLines/>
              <w:spacing w:after="0" w:line="240" w:lineRule="auto"/>
              <w:jc w:val="right"/>
            </w:pPr>
            <w:r>
              <w:rPr>
                <w:sz w:val="18"/>
              </w:rPr>
              <w:t>465.583,08</w:t>
            </w:r>
          </w:p>
        </w:tc>
        <w:tc>
          <w:tcPr>
            <w:tcW w:w="700" w:type="dxa"/>
            <w:tcMar>
              <w:top w:w="0" w:type="dxa"/>
              <w:bottom w:w="0" w:type="dxa"/>
            </w:tcMar>
            <w:vAlign w:val="center"/>
          </w:tcPr>
          <w:p w14:paraId="4060E1D3" w14:textId="77777777" w:rsidR="001B250D" w:rsidRDefault="00000000">
            <w:pPr>
              <w:keepNext/>
              <w:keepLines/>
              <w:spacing w:after="0" w:line="240" w:lineRule="auto"/>
              <w:jc w:val="right"/>
            </w:pPr>
            <w:r>
              <w:rPr>
                <w:sz w:val="18"/>
              </w:rPr>
              <w:t>112,8</w:t>
            </w:r>
          </w:p>
        </w:tc>
      </w:tr>
      <w:tr w:rsidR="001B250D" w14:paraId="3537A59B" w14:textId="77777777">
        <w:tblPrEx>
          <w:tblCellMar>
            <w:top w:w="0" w:type="dxa"/>
            <w:bottom w:w="0" w:type="dxa"/>
          </w:tblCellMar>
        </w:tblPrEx>
        <w:trPr>
          <w:cantSplit/>
          <w:trHeight w:val="560"/>
        </w:trPr>
        <w:tc>
          <w:tcPr>
            <w:tcW w:w="700" w:type="dxa"/>
            <w:tcMar>
              <w:top w:w="0" w:type="dxa"/>
              <w:bottom w:w="0" w:type="dxa"/>
            </w:tcMar>
            <w:vAlign w:val="center"/>
          </w:tcPr>
          <w:p w14:paraId="03734966" w14:textId="77777777" w:rsidR="001B250D" w:rsidRDefault="001B250D">
            <w:pPr>
              <w:keepNext/>
              <w:keepLines/>
              <w:spacing w:after="0" w:line="240" w:lineRule="auto"/>
            </w:pPr>
          </w:p>
        </w:tc>
        <w:tc>
          <w:tcPr>
            <w:tcW w:w="3180" w:type="dxa"/>
            <w:tcMar>
              <w:top w:w="0" w:type="dxa"/>
              <w:bottom w:w="0" w:type="dxa"/>
            </w:tcMar>
            <w:vAlign w:val="center"/>
          </w:tcPr>
          <w:p w14:paraId="78D39083" w14:textId="77777777" w:rsidR="001B250D"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675BF636" w14:textId="77777777" w:rsidR="001B250D" w:rsidRDefault="00000000">
            <w:pPr>
              <w:keepNext/>
              <w:keepLines/>
              <w:spacing w:after="0" w:line="240" w:lineRule="auto"/>
            </w:pPr>
            <w:r>
              <w:rPr>
                <w:b/>
                <w:sz w:val="18"/>
              </w:rPr>
              <w:t>Y003</w:t>
            </w:r>
          </w:p>
        </w:tc>
        <w:tc>
          <w:tcPr>
            <w:tcW w:w="1860" w:type="dxa"/>
            <w:tcMar>
              <w:top w:w="0" w:type="dxa"/>
              <w:bottom w:w="0" w:type="dxa"/>
            </w:tcMar>
            <w:vAlign w:val="center"/>
          </w:tcPr>
          <w:p w14:paraId="4E0162F0" w14:textId="77777777" w:rsidR="001B250D" w:rsidRDefault="00000000">
            <w:pPr>
              <w:keepNext/>
              <w:keepLines/>
              <w:spacing w:after="0" w:line="240" w:lineRule="auto"/>
              <w:jc w:val="right"/>
            </w:pPr>
            <w:r>
              <w:rPr>
                <w:b/>
                <w:sz w:val="18"/>
              </w:rPr>
              <w:t>412.919,48</w:t>
            </w:r>
          </w:p>
        </w:tc>
        <w:tc>
          <w:tcPr>
            <w:tcW w:w="1860" w:type="dxa"/>
            <w:tcMar>
              <w:top w:w="0" w:type="dxa"/>
              <w:bottom w:w="0" w:type="dxa"/>
            </w:tcMar>
            <w:vAlign w:val="center"/>
          </w:tcPr>
          <w:p w14:paraId="263D6B8E" w14:textId="77777777" w:rsidR="001B250D" w:rsidRDefault="00000000">
            <w:pPr>
              <w:keepNext/>
              <w:keepLines/>
              <w:spacing w:after="0" w:line="240" w:lineRule="auto"/>
              <w:jc w:val="right"/>
            </w:pPr>
            <w:r>
              <w:rPr>
                <w:b/>
                <w:sz w:val="18"/>
              </w:rPr>
              <w:t>465.583,08</w:t>
            </w:r>
          </w:p>
        </w:tc>
        <w:tc>
          <w:tcPr>
            <w:tcW w:w="700" w:type="dxa"/>
            <w:tcMar>
              <w:top w:w="0" w:type="dxa"/>
              <w:bottom w:w="0" w:type="dxa"/>
            </w:tcMar>
            <w:vAlign w:val="center"/>
          </w:tcPr>
          <w:p w14:paraId="1D53DC50" w14:textId="77777777" w:rsidR="001B250D" w:rsidRDefault="00000000">
            <w:pPr>
              <w:keepNext/>
              <w:keepLines/>
              <w:spacing w:after="0" w:line="240" w:lineRule="auto"/>
              <w:jc w:val="right"/>
            </w:pPr>
            <w:r>
              <w:rPr>
                <w:b/>
                <w:sz w:val="18"/>
              </w:rPr>
              <w:t>112,8</w:t>
            </w:r>
          </w:p>
        </w:tc>
      </w:tr>
      <w:tr w:rsidR="001B250D" w14:paraId="3A37566C" w14:textId="77777777">
        <w:tblPrEx>
          <w:tblCellMar>
            <w:top w:w="0" w:type="dxa"/>
            <w:bottom w:w="0" w:type="dxa"/>
          </w:tblCellMar>
        </w:tblPrEx>
        <w:trPr>
          <w:cantSplit/>
          <w:trHeight w:val="560"/>
        </w:trPr>
        <w:tc>
          <w:tcPr>
            <w:tcW w:w="700" w:type="dxa"/>
            <w:tcMar>
              <w:top w:w="0" w:type="dxa"/>
              <w:bottom w:w="0" w:type="dxa"/>
            </w:tcMar>
            <w:vAlign w:val="center"/>
          </w:tcPr>
          <w:p w14:paraId="32D8FC28" w14:textId="77777777" w:rsidR="001B250D" w:rsidRDefault="001B250D">
            <w:pPr>
              <w:keepNext/>
              <w:keepLines/>
              <w:spacing w:after="0" w:line="240" w:lineRule="auto"/>
            </w:pPr>
          </w:p>
        </w:tc>
        <w:tc>
          <w:tcPr>
            <w:tcW w:w="3180" w:type="dxa"/>
            <w:tcMar>
              <w:top w:w="0" w:type="dxa"/>
              <w:bottom w:w="0" w:type="dxa"/>
            </w:tcMar>
            <w:vAlign w:val="center"/>
          </w:tcPr>
          <w:p w14:paraId="494E63FF" w14:textId="77777777" w:rsidR="001B250D"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5F5F02D4" w14:textId="77777777" w:rsidR="001B250D" w:rsidRDefault="00000000">
            <w:pPr>
              <w:keepNext/>
              <w:keepLines/>
              <w:spacing w:after="0" w:line="240" w:lineRule="auto"/>
            </w:pPr>
            <w:r>
              <w:rPr>
                <w:b/>
                <w:sz w:val="18"/>
              </w:rPr>
              <w:t>Y005</w:t>
            </w:r>
          </w:p>
        </w:tc>
        <w:tc>
          <w:tcPr>
            <w:tcW w:w="1860" w:type="dxa"/>
            <w:tcMar>
              <w:top w:w="0" w:type="dxa"/>
              <w:bottom w:w="0" w:type="dxa"/>
            </w:tcMar>
            <w:vAlign w:val="center"/>
          </w:tcPr>
          <w:p w14:paraId="5AFC6D02" w14:textId="77777777" w:rsidR="001B250D" w:rsidRDefault="00000000">
            <w:pPr>
              <w:keepNext/>
              <w:keepLines/>
              <w:spacing w:after="0" w:line="240" w:lineRule="auto"/>
              <w:jc w:val="right"/>
            </w:pPr>
            <w:r>
              <w:rPr>
                <w:b/>
                <w:sz w:val="18"/>
              </w:rPr>
              <w:t>2.314.497,25</w:t>
            </w:r>
          </w:p>
        </w:tc>
        <w:tc>
          <w:tcPr>
            <w:tcW w:w="1860" w:type="dxa"/>
            <w:tcMar>
              <w:top w:w="0" w:type="dxa"/>
              <w:bottom w:w="0" w:type="dxa"/>
            </w:tcMar>
            <w:vAlign w:val="center"/>
          </w:tcPr>
          <w:p w14:paraId="20EED872" w14:textId="77777777" w:rsidR="001B250D" w:rsidRDefault="00000000">
            <w:pPr>
              <w:keepNext/>
              <w:keepLines/>
              <w:spacing w:after="0" w:line="240" w:lineRule="auto"/>
              <w:jc w:val="right"/>
            </w:pPr>
            <w:r>
              <w:rPr>
                <w:b/>
                <w:sz w:val="18"/>
              </w:rPr>
              <w:t>2.966.603,59</w:t>
            </w:r>
          </w:p>
        </w:tc>
        <w:tc>
          <w:tcPr>
            <w:tcW w:w="700" w:type="dxa"/>
            <w:tcMar>
              <w:top w:w="0" w:type="dxa"/>
              <w:bottom w:w="0" w:type="dxa"/>
            </w:tcMar>
            <w:vAlign w:val="center"/>
          </w:tcPr>
          <w:p w14:paraId="05F2446A" w14:textId="77777777" w:rsidR="001B250D" w:rsidRDefault="00000000">
            <w:pPr>
              <w:keepNext/>
              <w:keepLines/>
              <w:spacing w:after="0" w:line="240" w:lineRule="auto"/>
              <w:jc w:val="right"/>
            </w:pPr>
            <w:r>
              <w:rPr>
                <w:b/>
                <w:sz w:val="18"/>
              </w:rPr>
              <w:t>128,2</w:t>
            </w:r>
          </w:p>
        </w:tc>
      </w:tr>
    </w:tbl>
    <w:p w14:paraId="77FB44BF" w14:textId="77777777" w:rsidR="001B250D" w:rsidRDefault="001B250D">
      <w:pPr>
        <w:spacing w:after="0"/>
      </w:pPr>
    </w:p>
    <w:p w14:paraId="7D895994" w14:textId="77777777" w:rsidR="001B250D" w:rsidRDefault="00000000">
      <w:r>
        <w:t> </w:t>
      </w:r>
    </w:p>
    <w:p w14:paraId="193E8F42" w14:textId="77777777" w:rsidR="001B250D" w:rsidRDefault="00000000">
      <w:r>
        <w:t>Sastavljen je konsolidirani financijski izvještaj Grada Opatije i proračunskih korisnika za razdoblje siječanj – prosinac 2025. godine. Svi proračunski korisnici uključeni su u sustav Gradske riznice:</w:t>
      </w:r>
    </w:p>
    <w:p w14:paraId="100AA0A2" w14:textId="77777777" w:rsidR="001B250D" w:rsidRDefault="00000000">
      <w:r>
        <w:lastRenderedPageBreak/>
        <w:t>Dječji vrtić Opatija</w:t>
      </w:r>
      <w:r>
        <w:br/>
        <w:t>Osnovna škola Rikard Katalinić .</w:t>
      </w:r>
      <w:proofErr w:type="spellStart"/>
      <w:r>
        <w:t>Jeretov</w:t>
      </w:r>
      <w:proofErr w:type="spellEnd"/>
      <w:r>
        <w:t xml:space="preserve"> Opatija</w:t>
      </w:r>
      <w:r>
        <w:br/>
        <w:t>Gradska knjižnica i čitaonica Viktor Car Emin Opatija</w:t>
      </w:r>
      <w:r>
        <w:br/>
        <w:t>Javna vatrogasna postrojba  Opatija</w:t>
      </w:r>
      <w:r>
        <w:br/>
        <w:t>Festival Opatija</w:t>
      </w:r>
    </w:p>
    <w:p w14:paraId="02C12F89" w14:textId="77777777" w:rsidR="001B250D" w:rsidRDefault="00000000">
      <w:r>
        <w:t>U ovom izvještajnom razdoblju ukupni prihodi i primici ostvareni su u iznosu od 32.370.533,51 eura i u odnosu na prethodnu godinu, kada su iznosili 28.019.717,38 eura, viši su za 15,5%. U okviru prihoda poslovanja povećanje se bilježi kod prihoda od poreza (10,3%), prihoda od pomoći od subjekata unutar općeg proračuna (22,3%), prihoda od imovine (14,6%), prihoda od upravnih i administrativnih pristojbi, pristojbi po posebnim propisima i naknada (9,1%) i prihoda od kapitalnih donacija. Smanjenje u ostvarenju prihoda poslovanja bilježi se kod ostalih prihoda. Prihodi od prodaje imovine također bilježe rast i to u dijelu prihoda od prodaje zemljišta. Primici od financijske imovine i zaduživanja, kao i u prethodnom razdoblju, nisu ostvareni budući da nije bilo potrebe za novim zaduživanjem.</w:t>
      </w:r>
    </w:p>
    <w:p w14:paraId="48495597" w14:textId="77777777" w:rsidR="001B250D" w:rsidRDefault="00000000">
      <w:pPr>
        <w:jc w:val="both"/>
      </w:pPr>
      <w:r>
        <w:t>U ovom izvještajnom razdoblju ukupni rashodi i izdaci izvršeni su u iznosu od 35.337.137,10 eura i u odnosu na prethodnu godinu, kada su iznosili 30.334.214,63 eura, viši su za 16,5%. U okviru rashoda poslovanja, koji rastu 17,8%, najveći porast izvršenja prisutan je kod rashoda za zaposlene (20,9%), materijalnih rashoda (12,5%), subvencija (27,3%), tekućih i kapitalnih pomoći te naknada građanima i kućanstvima. Rashodi za nabavu nefinancijske imovine također bilježe porast i to od 8,5%. Izdaci za financijsku imovinu i otplate zajmova u odnosu na prethodnu godinu porasli su 12,8%.</w:t>
      </w:r>
    </w:p>
    <w:p w14:paraId="40654BE3" w14:textId="77777777" w:rsidR="001B250D" w:rsidRDefault="00000000">
      <w:pPr>
        <w:jc w:val="both"/>
      </w:pPr>
      <w:r>
        <w:t>U ovom izvještajnom razdoblju ostvaren je tekući manjak prihoda i primitaka u iznosu od 2.966.603,59 eura, proizašao iz viška prihoda poslovanja od 411.265,04 eura, manjka prihoda od nefinancijske imovine od 2.912.285,55 eura te manjka primitaka od financijske imovine i zaduživanja od 465.583,08 eura. Preneseni višak prihoda i primitaka iz prethodnog razdoblja iznosi 6.419.026,66 eura i uvećan je za iznos provedenog ispravka rezultata od 152,00 eura kod proračunskog korisnika. Tekući manjak prihoda i primitaka u iznosu od 2.966.603,59 eura zajedno s prenesenim viškom prihoda i primitaka iz prethodnog razdoblja od 6.419.026,66 eura predstavlja ostvareni Višak prihoda i primitaka raspoloživ u sljedećem razdoblju i on iznosi 3.452.423,07 eura.</w:t>
      </w:r>
    </w:p>
    <w:p w14:paraId="091D1FA1" w14:textId="77777777" w:rsidR="001B250D" w:rsidRDefault="00000000">
      <w:r>
        <w:br/>
      </w:r>
    </w:p>
    <w:p w14:paraId="3D532700" w14:textId="77777777" w:rsidR="001B250D"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60A76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0BF7BA"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2B7468"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DB1D1"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3B7877"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894965"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D16B34" w14:textId="77777777" w:rsidR="001B250D" w:rsidRDefault="00000000">
            <w:pPr>
              <w:keepNext/>
              <w:keepLines/>
              <w:spacing w:after="0" w:line="240" w:lineRule="auto"/>
              <w:jc w:val="center"/>
            </w:pPr>
            <w:r>
              <w:rPr>
                <w:b/>
                <w:sz w:val="18"/>
              </w:rPr>
              <w:t>Indeks (%)</w:t>
            </w:r>
          </w:p>
        </w:tc>
      </w:tr>
      <w:tr w:rsidR="001B250D" w14:paraId="1960D484" w14:textId="77777777">
        <w:tblPrEx>
          <w:tblCellMar>
            <w:top w:w="0" w:type="dxa"/>
            <w:bottom w:w="0" w:type="dxa"/>
          </w:tblCellMar>
        </w:tblPrEx>
        <w:trPr>
          <w:cantSplit/>
          <w:trHeight w:val="560"/>
        </w:trPr>
        <w:tc>
          <w:tcPr>
            <w:tcW w:w="700" w:type="dxa"/>
            <w:tcMar>
              <w:top w:w="0" w:type="dxa"/>
              <w:bottom w:w="0" w:type="dxa"/>
            </w:tcMar>
            <w:vAlign w:val="center"/>
          </w:tcPr>
          <w:p w14:paraId="6A7570BD" w14:textId="77777777" w:rsidR="001B250D" w:rsidRDefault="00000000">
            <w:pPr>
              <w:keepNext/>
              <w:keepLines/>
              <w:spacing w:after="0" w:line="240" w:lineRule="auto"/>
            </w:pPr>
            <w:r>
              <w:rPr>
                <w:sz w:val="18"/>
              </w:rPr>
              <w:t>611</w:t>
            </w:r>
          </w:p>
        </w:tc>
        <w:tc>
          <w:tcPr>
            <w:tcW w:w="3180" w:type="dxa"/>
            <w:tcMar>
              <w:top w:w="0" w:type="dxa"/>
              <w:bottom w:w="0" w:type="dxa"/>
            </w:tcMar>
            <w:vAlign w:val="center"/>
          </w:tcPr>
          <w:p w14:paraId="3672E305" w14:textId="77777777" w:rsidR="001B250D"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07C00EB" w14:textId="77777777" w:rsidR="001B250D" w:rsidRDefault="00000000">
            <w:pPr>
              <w:keepNext/>
              <w:keepLines/>
              <w:spacing w:after="0" w:line="240" w:lineRule="auto"/>
            </w:pPr>
            <w:r>
              <w:rPr>
                <w:sz w:val="18"/>
              </w:rPr>
              <w:t>611</w:t>
            </w:r>
          </w:p>
        </w:tc>
        <w:tc>
          <w:tcPr>
            <w:tcW w:w="1860" w:type="dxa"/>
            <w:tcMar>
              <w:top w:w="0" w:type="dxa"/>
              <w:bottom w:w="0" w:type="dxa"/>
            </w:tcMar>
            <w:vAlign w:val="center"/>
          </w:tcPr>
          <w:p w14:paraId="603C29DC" w14:textId="77777777" w:rsidR="001B250D" w:rsidRDefault="00000000">
            <w:pPr>
              <w:keepNext/>
              <w:keepLines/>
              <w:spacing w:after="0" w:line="240" w:lineRule="auto"/>
              <w:jc w:val="right"/>
            </w:pPr>
            <w:r>
              <w:rPr>
                <w:sz w:val="18"/>
              </w:rPr>
              <w:t>10.488.581,96</w:t>
            </w:r>
          </w:p>
        </w:tc>
        <w:tc>
          <w:tcPr>
            <w:tcW w:w="1860" w:type="dxa"/>
            <w:tcMar>
              <w:top w:w="0" w:type="dxa"/>
              <w:bottom w:w="0" w:type="dxa"/>
            </w:tcMar>
            <w:vAlign w:val="center"/>
          </w:tcPr>
          <w:p w14:paraId="7F1ECBBD" w14:textId="77777777" w:rsidR="001B250D" w:rsidRDefault="00000000">
            <w:pPr>
              <w:keepNext/>
              <w:keepLines/>
              <w:spacing w:after="0" w:line="240" w:lineRule="auto"/>
              <w:jc w:val="right"/>
            </w:pPr>
            <w:r>
              <w:rPr>
                <w:sz w:val="18"/>
              </w:rPr>
              <w:t>11.906.975,93</w:t>
            </w:r>
          </w:p>
        </w:tc>
        <w:tc>
          <w:tcPr>
            <w:tcW w:w="700" w:type="dxa"/>
            <w:tcMar>
              <w:top w:w="0" w:type="dxa"/>
              <w:bottom w:w="0" w:type="dxa"/>
            </w:tcMar>
            <w:vAlign w:val="center"/>
          </w:tcPr>
          <w:p w14:paraId="5B7B044D" w14:textId="77777777" w:rsidR="001B250D" w:rsidRDefault="00000000">
            <w:pPr>
              <w:keepNext/>
              <w:keepLines/>
              <w:spacing w:after="0" w:line="240" w:lineRule="auto"/>
              <w:jc w:val="right"/>
            </w:pPr>
            <w:r>
              <w:rPr>
                <w:sz w:val="18"/>
              </w:rPr>
              <w:t>113,5</w:t>
            </w:r>
          </w:p>
        </w:tc>
      </w:tr>
    </w:tbl>
    <w:p w14:paraId="32C59DED" w14:textId="77777777" w:rsidR="001B250D" w:rsidRDefault="001B250D">
      <w:pPr>
        <w:spacing w:after="0"/>
      </w:pPr>
    </w:p>
    <w:p w14:paraId="62485BFF" w14:textId="77777777" w:rsidR="001B250D" w:rsidRDefault="00000000">
      <w:r>
        <w:t xml:space="preserve">Porez na dohodak bilježi rast od 13,5% što ukazuje na poboljšanje poslovanja u gospodarstvu i s tim povezan porast placa zaposlenih. Od iskazanog iznosa ostvarenih prihoda od poreza na </w:t>
      </w:r>
      <w:r>
        <w:lastRenderedPageBreak/>
        <w:t>dohodak, iznos od 449.023,96 eura namijenjen je financiranju decentraliziranih funkcija osnovnog školstva i vatrogastva.</w:t>
      </w:r>
    </w:p>
    <w:p w14:paraId="0CFE29BF" w14:textId="77777777" w:rsidR="001B250D" w:rsidRDefault="001B250D"/>
    <w:p w14:paraId="0D942B47" w14:textId="77777777" w:rsidR="001B250D"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458C7A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D00B0"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2014C4"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C958DB"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627F22"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B41052"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E2F2E1" w14:textId="77777777" w:rsidR="001B250D" w:rsidRDefault="00000000">
            <w:pPr>
              <w:keepNext/>
              <w:keepLines/>
              <w:spacing w:after="0" w:line="240" w:lineRule="auto"/>
              <w:jc w:val="center"/>
            </w:pPr>
            <w:r>
              <w:rPr>
                <w:b/>
                <w:sz w:val="18"/>
              </w:rPr>
              <w:t>Indeks (%)</w:t>
            </w:r>
          </w:p>
        </w:tc>
      </w:tr>
      <w:tr w:rsidR="001B250D" w14:paraId="00ADDAB4" w14:textId="77777777">
        <w:tblPrEx>
          <w:tblCellMar>
            <w:top w:w="0" w:type="dxa"/>
            <w:bottom w:w="0" w:type="dxa"/>
          </w:tblCellMar>
        </w:tblPrEx>
        <w:trPr>
          <w:cantSplit/>
          <w:trHeight w:val="560"/>
        </w:trPr>
        <w:tc>
          <w:tcPr>
            <w:tcW w:w="700" w:type="dxa"/>
            <w:tcMar>
              <w:top w:w="0" w:type="dxa"/>
              <w:bottom w:w="0" w:type="dxa"/>
            </w:tcMar>
            <w:vAlign w:val="center"/>
          </w:tcPr>
          <w:p w14:paraId="39429061" w14:textId="77777777" w:rsidR="001B250D" w:rsidRDefault="00000000">
            <w:pPr>
              <w:keepNext/>
              <w:keepLines/>
              <w:spacing w:after="0" w:line="240" w:lineRule="auto"/>
            </w:pPr>
            <w:r>
              <w:rPr>
                <w:sz w:val="18"/>
              </w:rPr>
              <w:t>633</w:t>
            </w:r>
          </w:p>
        </w:tc>
        <w:tc>
          <w:tcPr>
            <w:tcW w:w="3180" w:type="dxa"/>
            <w:tcMar>
              <w:top w:w="0" w:type="dxa"/>
              <w:bottom w:w="0" w:type="dxa"/>
            </w:tcMar>
            <w:vAlign w:val="center"/>
          </w:tcPr>
          <w:p w14:paraId="49A9A3B7" w14:textId="77777777" w:rsidR="001B250D"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0BFA9274" w14:textId="77777777" w:rsidR="001B250D" w:rsidRDefault="00000000">
            <w:pPr>
              <w:keepNext/>
              <w:keepLines/>
              <w:spacing w:after="0" w:line="240" w:lineRule="auto"/>
            </w:pPr>
            <w:r>
              <w:rPr>
                <w:sz w:val="18"/>
              </w:rPr>
              <w:t>633</w:t>
            </w:r>
          </w:p>
        </w:tc>
        <w:tc>
          <w:tcPr>
            <w:tcW w:w="1860" w:type="dxa"/>
            <w:tcMar>
              <w:top w:w="0" w:type="dxa"/>
              <w:bottom w:w="0" w:type="dxa"/>
            </w:tcMar>
            <w:vAlign w:val="center"/>
          </w:tcPr>
          <w:p w14:paraId="26D11FFE" w14:textId="77777777" w:rsidR="001B250D" w:rsidRDefault="00000000">
            <w:pPr>
              <w:keepNext/>
              <w:keepLines/>
              <w:spacing w:after="0" w:line="240" w:lineRule="auto"/>
              <w:jc w:val="right"/>
            </w:pPr>
            <w:r>
              <w:rPr>
                <w:sz w:val="18"/>
              </w:rPr>
              <w:t>1.360.046,08</w:t>
            </w:r>
          </w:p>
        </w:tc>
        <w:tc>
          <w:tcPr>
            <w:tcW w:w="1860" w:type="dxa"/>
            <w:tcMar>
              <w:top w:w="0" w:type="dxa"/>
              <w:bottom w:w="0" w:type="dxa"/>
            </w:tcMar>
            <w:vAlign w:val="center"/>
          </w:tcPr>
          <w:p w14:paraId="3FC5216D" w14:textId="77777777" w:rsidR="001B250D" w:rsidRDefault="00000000">
            <w:pPr>
              <w:keepNext/>
              <w:keepLines/>
              <w:spacing w:after="0" w:line="240" w:lineRule="auto"/>
              <w:jc w:val="right"/>
            </w:pPr>
            <w:r>
              <w:rPr>
                <w:sz w:val="18"/>
              </w:rPr>
              <w:t>726.883,80</w:t>
            </w:r>
          </w:p>
        </w:tc>
        <w:tc>
          <w:tcPr>
            <w:tcW w:w="700" w:type="dxa"/>
            <w:tcMar>
              <w:top w:w="0" w:type="dxa"/>
              <w:bottom w:w="0" w:type="dxa"/>
            </w:tcMar>
            <w:vAlign w:val="center"/>
          </w:tcPr>
          <w:p w14:paraId="08A01763" w14:textId="77777777" w:rsidR="001B250D" w:rsidRDefault="00000000">
            <w:pPr>
              <w:keepNext/>
              <w:keepLines/>
              <w:spacing w:after="0" w:line="240" w:lineRule="auto"/>
              <w:jc w:val="right"/>
            </w:pPr>
            <w:r>
              <w:rPr>
                <w:sz w:val="18"/>
              </w:rPr>
              <w:t>53,4</w:t>
            </w:r>
          </w:p>
        </w:tc>
      </w:tr>
    </w:tbl>
    <w:p w14:paraId="28ABE589" w14:textId="77777777" w:rsidR="001B250D" w:rsidRDefault="001B250D">
      <w:pPr>
        <w:spacing w:after="0"/>
      </w:pPr>
    </w:p>
    <w:p w14:paraId="659190CF" w14:textId="77777777" w:rsidR="001B250D" w:rsidRDefault="00000000">
      <w:r>
        <w:t xml:space="preserve">Pomoći proračunu i izvanproračunskim korisnicima iz drugih proračuna ostvarene su iz Državnog proračuna u iznosu od 639.842,29 Eura (za fiskalnu održivost dječjih vrtića 169.212,00 Eura, za dobrovoljno funkcionalno spajanje JLS 188.677,51 eura, 100.000,00 Eura za uređenje plaže </w:t>
      </w:r>
      <w:proofErr w:type="spellStart"/>
      <w:r>
        <w:t>Tomaševac</w:t>
      </w:r>
      <w:proofErr w:type="spellEnd"/>
      <w:r>
        <w:t xml:space="preserve">, 26.407,38 eura za dječji vrtić u </w:t>
      </w:r>
      <w:proofErr w:type="spellStart"/>
      <w:r>
        <w:t>Ičićima</w:t>
      </w:r>
      <w:proofErr w:type="spellEnd"/>
      <w:r>
        <w:t xml:space="preserve">, 50.000,00 eura za dječje igralište u Veprincu, 100.000,00 eura za uređenje Vile </w:t>
      </w:r>
      <w:proofErr w:type="spellStart"/>
      <w:r>
        <w:t>Angiolina</w:t>
      </w:r>
      <w:proofErr w:type="spellEnd"/>
      <w:r>
        <w:t xml:space="preserve"> i 5.221,40 Eura za sufinanciranje projekta </w:t>
      </w:r>
      <w:proofErr w:type="spellStart"/>
      <w:r>
        <w:t>FoRESisT</w:t>
      </w:r>
      <w:proofErr w:type="spellEnd"/>
      <w:r>
        <w:t xml:space="preserve">) te iz proračuna PGŽ u iznosu od 57.000,00 eura za vise projekata (5.000 eura za sufinanciranje projekta promocije turizma Opatijski cvjetni festivali-promocija parkovne baštine, 12.000,00 eura za sufinanciranje prijevoza onkoloških bolesnika te po 20.000,00 eura za uređenje plaze </w:t>
      </w:r>
      <w:proofErr w:type="spellStart"/>
      <w:r>
        <w:t>Tomasevac</w:t>
      </w:r>
      <w:proofErr w:type="spellEnd"/>
      <w:r>
        <w:t xml:space="preserve"> i dječje igralište u Veprincu). Od Županijskog suda u Rijeci doznačena su sredstva u iznosu od 30.041,51 eura na ime refundacije troškova provedbe lokalnih izbora.</w:t>
      </w:r>
    </w:p>
    <w:p w14:paraId="1C6D4AF4" w14:textId="77777777" w:rsidR="001B250D" w:rsidRDefault="001B250D"/>
    <w:p w14:paraId="27E12418" w14:textId="77777777" w:rsidR="001B250D"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6F4EEB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328211"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B47561"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07F4B6"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43DF3B"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D7B0AE"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A1B94E" w14:textId="77777777" w:rsidR="001B250D" w:rsidRDefault="00000000">
            <w:pPr>
              <w:keepNext/>
              <w:keepLines/>
              <w:spacing w:after="0" w:line="240" w:lineRule="auto"/>
              <w:jc w:val="center"/>
            </w:pPr>
            <w:r>
              <w:rPr>
                <w:b/>
                <w:sz w:val="18"/>
              </w:rPr>
              <w:t>Indeks (%)</w:t>
            </w:r>
          </w:p>
        </w:tc>
      </w:tr>
      <w:tr w:rsidR="001B250D" w14:paraId="2941A57C" w14:textId="77777777">
        <w:tblPrEx>
          <w:tblCellMar>
            <w:top w:w="0" w:type="dxa"/>
            <w:bottom w:w="0" w:type="dxa"/>
          </w:tblCellMar>
        </w:tblPrEx>
        <w:trPr>
          <w:cantSplit/>
          <w:trHeight w:val="560"/>
        </w:trPr>
        <w:tc>
          <w:tcPr>
            <w:tcW w:w="700" w:type="dxa"/>
            <w:tcMar>
              <w:top w:w="0" w:type="dxa"/>
              <w:bottom w:w="0" w:type="dxa"/>
            </w:tcMar>
            <w:vAlign w:val="center"/>
          </w:tcPr>
          <w:p w14:paraId="419D674F" w14:textId="77777777" w:rsidR="001B250D" w:rsidRDefault="00000000">
            <w:pPr>
              <w:keepNext/>
              <w:keepLines/>
              <w:spacing w:after="0" w:line="240" w:lineRule="auto"/>
            </w:pPr>
            <w:r>
              <w:rPr>
                <w:sz w:val="18"/>
              </w:rPr>
              <w:t>634</w:t>
            </w:r>
          </w:p>
        </w:tc>
        <w:tc>
          <w:tcPr>
            <w:tcW w:w="3180" w:type="dxa"/>
            <w:tcMar>
              <w:top w:w="0" w:type="dxa"/>
              <w:bottom w:w="0" w:type="dxa"/>
            </w:tcMar>
            <w:vAlign w:val="center"/>
          </w:tcPr>
          <w:p w14:paraId="4E912414" w14:textId="77777777" w:rsidR="001B250D"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31220010" w14:textId="77777777" w:rsidR="001B250D" w:rsidRDefault="00000000">
            <w:pPr>
              <w:keepNext/>
              <w:keepLines/>
              <w:spacing w:after="0" w:line="240" w:lineRule="auto"/>
            </w:pPr>
            <w:r>
              <w:rPr>
                <w:sz w:val="18"/>
              </w:rPr>
              <w:t>634</w:t>
            </w:r>
          </w:p>
        </w:tc>
        <w:tc>
          <w:tcPr>
            <w:tcW w:w="1860" w:type="dxa"/>
            <w:tcMar>
              <w:top w:w="0" w:type="dxa"/>
              <w:bottom w:w="0" w:type="dxa"/>
            </w:tcMar>
            <w:vAlign w:val="center"/>
          </w:tcPr>
          <w:p w14:paraId="006935C4" w14:textId="77777777" w:rsidR="001B250D" w:rsidRDefault="00000000">
            <w:pPr>
              <w:keepNext/>
              <w:keepLines/>
              <w:spacing w:after="0" w:line="240" w:lineRule="auto"/>
              <w:jc w:val="right"/>
            </w:pPr>
            <w:r>
              <w:rPr>
                <w:sz w:val="18"/>
              </w:rPr>
              <w:t>24.055,50</w:t>
            </w:r>
          </w:p>
        </w:tc>
        <w:tc>
          <w:tcPr>
            <w:tcW w:w="1860" w:type="dxa"/>
            <w:tcMar>
              <w:top w:w="0" w:type="dxa"/>
              <w:bottom w:w="0" w:type="dxa"/>
            </w:tcMar>
            <w:vAlign w:val="center"/>
          </w:tcPr>
          <w:p w14:paraId="5F404C69" w14:textId="77777777" w:rsidR="001B250D" w:rsidRDefault="00000000">
            <w:pPr>
              <w:keepNext/>
              <w:keepLines/>
              <w:spacing w:after="0" w:line="240" w:lineRule="auto"/>
              <w:jc w:val="right"/>
            </w:pPr>
            <w:r>
              <w:rPr>
                <w:sz w:val="18"/>
              </w:rPr>
              <w:t>138.576,09</w:t>
            </w:r>
          </w:p>
        </w:tc>
        <w:tc>
          <w:tcPr>
            <w:tcW w:w="700" w:type="dxa"/>
            <w:tcMar>
              <w:top w:w="0" w:type="dxa"/>
              <w:bottom w:w="0" w:type="dxa"/>
            </w:tcMar>
            <w:vAlign w:val="center"/>
          </w:tcPr>
          <w:p w14:paraId="40C0386E" w14:textId="77777777" w:rsidR="001B250D" w:rsidRDefault="00000000">
            <w:pPr>
              <w:keepNext/>
              <w:keepLines/>
              <w:spacing w:after="0" w:line="240" w:lineRule="auto"/>
              <w:jc w:val="right"/>
            </w:pPr>
            <w:r>
              <w:rPr>
                <w:sz w:val="18"/>
              </w:rPr>
              <w:t>576,1</w:t>
            </w:r>
          </w:p>
        </w:tc>
      </w:tr>
    </w:tbl>
    <w:p w14:paraId="56765180" w14:textId="77777777" w:rsidR="001B250D" w:rsidRDefault="001B250D">
      <w:pPr>
        <w:spacing w:after="0"/>
      </w:pPr>
    </w:p>
    <w:p w14:paraId="142171F8" w14:textId="77777777" w:rsidR="001B250D" w:rsidRDefault="00000000">
      <w:r>
        <w:t>Pomoći od izvanproračunskih korisnika ostvarene su od Fonda za zaštitu okoliša i energetsku učinkovitost u iznosu od 97.047,55 eura te Županijske uprave za ceste u iznosu od 41.528,54 eura. </w:t>
      </w:r>
    </w:p>
    <w:p w14:paraId="621E0218" w14:textId="77777777" w:rsidR="001B250D" w:rsidRDefault="001B250D"/>
    <w:p w14:paraId="34434C1B" w14:textId="77777777" w:rsidR="001B250D"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D7D36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CB652E"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F5401E"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9B7C2"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B66CA"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A34101"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01934F" w14:textId="77777777" w:rsidR="001B250D" w:rsidRDefault="00000000">
            <w:pPr>
              <w:keepNext/>
              <w:keepLines/>
              <w:spacing w:after="0" w:line="240" w:lineRule="auto"/>
              <w:jc w:val="center"/>
            </w:pPr>
            <w:r>
              <w:rPr>
                <w:b/>
                <w:sz w:val="18"/>
              </w:rPr>
              <w:t>Indeks (%)</w:t>
            </w:r>
          </w:p>
        </w:tc>
      </w:tr>
      <w:tr w:rsidR="001B250D" w14:paraId="154647B9" w14:textId="77777777">
        <w:tblPrEx>
          <w:tblCellMar>
            <w:top w:w="0" w:type="dxa"/>
            <w:bottom w:w="0" w:type="dxa"/>
          </w:tblCellMar>
        </w:tblPrEx>
        <w:trPr>
          <w:cantSplit/>
          <w:trHeight w:val="560"/>
        </w:trPr>
        <w:tc>
          <w:tcPr>
            <w:tcW w:w="700" w:type="dxa"/>
            <w:tcMar>
              <w:top w:w="0" w:type="dxa"/>
              <w:bottom w:w="0" w:type="dxa"/>
            </w:tcMar>
            <w:vAlign w:val="center"/>
          </w:tcPr>
          <w:p w14:paraId="47A5C522" w14:textId="77777777" w:rsidR="001B250D" w:rsidRDefault="00000000">
            <w:pPr>
              <w:keepNext/>
              <w:keepLines/>
              <w:spacing w:after="0" w:line="240" w:lineRule="auto"/>
            </w:pPr>
            <w:r>
              <w:rPr>
                <w:sz w:val="18"/>
              </w:rPr>
              <w:t>636</w:t>
            </w:r>
          </w:p>
        </w:tc>
        <w:tc>
          <w:tcPr>
            <w:tcW w:w="3180" w:type="dxa"/>
            <w:tcMar>
              <w:top w:w="0" w:type="dxa"/>
              <w:bottom w:w="0" w:type="dxa"/>
            </w:tcMar>
            <w:vAlign w:val="center"/>
          </w:tcPr>
          <w:p w14:paraId="3D8892ED" w14:textId="77777777" w:rsidR="001B250D"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3B796551" w14:textId="77777777" w:rsidR="001B250D" w:rsidRDefault="00000000">
            <w:pPr>
              <w:keepNext/>
              <w:keepLines/>
              <w:spacing w:after="0" w:line="240" w:lineRule="auto"/>
            </w:pPr>
            <w:r>
              <w:rPr>
                <w:sz w:val="18"/>
              </w:rPr>
              <w:t>636</w:t>
            </w:r>
          </w:p>
        </w:tc>
        <w:tc>
          <w:tcPr>
            <w:tcW w:w="1860" w:type="dxa"/>
            <w:tcMar>
              <w:top w:w="0" w:type="dxa"/>
              <w:bottom w:w="0" w:type="dxa"/>
            </w:tcMar>
            <w:vAlign w:val="center"/>
          </w:tcPr>
          <w:p w14:paraId="3B309863" w14:textId="77777777" w:rsidR="001B250D" w:rsidRDefault="00000000">
            <w:pPr>
              <w:keepNext/>
              <w:keepLines/>
              <w:spacing w:after="0" w:line="240" w:lineRule="auto"/>
              <w:jc w:val="right"/>
            </w:pPr>
            <w:r>
              <w:rPr>
                <w:sz w:val="18"/>
              </w:rPr>
              <w:t>2.897.201,78</w:t>
            </w:r>
          </w:p>
        </w:tc>
        <w:tc>
          <w:tcPr>
            <w:tcW w:w="1860" w:type="dxa"/>
            <w:tcMar>
              <w:top w:w="0" w:type="dxa"/>
              <w:bottom w:w="0" w:type="dxa"/>
            </w:tcMar>
            <w:vAlign w:val="center"/>
          </w:tcPr>
          <w:p w14:paraId="5252DE23" w14:textId="77777777" w:rsidR="001B250D" w:rsidRDefault="00000000">
            <w:pPr>
              <w:keepNext/>
              <w:keepLines/>
              <w:spacing w:after="0" w:line="240" w:lineRule="auto"/>
              <w:jc w:val="right"/>
            </w:pPr>
            <w:r>
              <w:rPr>
                <w:sz w:val="18"/>
              </w:rPr>
              <w:t>4.095.572,82</w:t>
            </w:r>
          </w:p>
        </w:tc>
        <w:tc>
          <w:tcPr>
            <w:tcW w:w="700" w:type="dxa"/>
            <w:tcMar>
              <w:top w:w="0" w:type="dxa"/>
              <w:bottom w:w="0" w:type="dxa"/>
            </w:tcMar>
            <w:vAlign w:val="center"/>
          </w:tcPr>
          <w:p w14:paraId="5020CC31" w14:textId="77777777" w:rsidR="001B250D" w:rsidRDefault="00000000">
            <w:pPr>
              <w:keepNext/>
              <w:keepLines/>
              <w:spacing w:after="0" w:line="240" w:lineRule="auto"/>
              <w:jc w:val="right"/>
            </w:pPr>
            <w:r>
              <w:rPr>
                <w:sz w:val="18"/>
              </w:rPr>
              <w:t>141,4</w:t>
            </w:r>
          </w:p>
        </w:tc>
      </w:tr>
    </w:tbl>
    <w:p w14:paraId="443A4877" w14:textId="77777777" w:rsidR="001B250D" w:rsidRDefault="001B250D">
      <w:pPr>
        <w:spacing w:after="0"/>
      </w:pPr>
    </w:p>
    <w:p w14:paraId="0AFAE948" w14:textId="77777777" w:rsidR="001B250D" w:rsidRDefault="00000000">
      <w:r>
        <w:t xml:space="preserve">Pomoći proračunskim korisnicima iz proračuna koji im nije nadležan ostvaruju proračunski korisnici iz Državnog proračuna za plaće i materijalne troškove osnovne škole (COP) te od </w:t>
      </w:r>
      <w:r>
        <w:lastRenderedPageBreak/>
        <w:t>ostalih JLS na čijem području proračunski korisnici obavljaju svoju redovnu djelatnost (DV Opatija, Gradska knjižnica i čitaonica, JVP).</w:t>
      </w:r>
    </w:p>
    <w:p w14:paraId="56D41FC9" w14:textId="77777777" w:rsidR="001B250D" w:rsidRDefault="001B250D"/>
    <w:p w14:paraId="22D43771" w14:textId="77777777" w:rsidR="001B250D"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137FF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5FA039"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92910F"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3CAEF"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1D0E89"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C38432"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B357B2" w14:textId="77777777" w:rsidR="001B250D" w:rsidRDefault="00000000">
            <w:pPr>
              <w:keepNext/>
              <w:keepLines/>
              <w:spacing w:after="0" w:line="240" w:lineRule="auto"/>
              <w:jc w:val="center"/>
            </w:pPr>
            <w:r>
              <w:rPr>
                <w:b/>
                <w:sz w:val="18"/>
              </w:rPr>
              <w:t>Indeks (%)</w:t>
            </w:r>
          </w:p>
        </w:tc>
      </w:tr>
      <w:tr w:rsidR="001B250D" w14:paraId="58E37183" w14:textId="77777777">
        <w:tblPrEx>
          <w:tblCellMar>
            <w:top w:w="0" w:type="dxa"/>
            <w:bottom w:w="0" w:type="dxa"/>
          </w:tblCellMar>
        </w:tblPrEx>
        <w:trPr>
          <w:cantSplit/>
          <w:trHeight w:val="560"/>
        </w:trPr>
        <w:tc>
          <w:tcPr>
            <w:tcW w:w="700" w:type="dxa"/>
            <w:tcMar>
              <w:top w:w="0" w:type="dxa"/>
              <w:bottom w:w="0" w:type="dxa"/>
            </w:tcMar>
            <w:vAlign w:val="center"/>
          </w:tcPr>
          <w:p w14:paraId="2C5F7D9B" w14:textId="77777777" w:rsidR="001B250D" w:rsidRDefault="00000000">
            <w:pPr>
              <w:keepNext/>
              <w:keepLines/>
              <w:spacing w:after="0" w:line="240" w:lineRule="auto"/>
            </w:pPr>
            <w:r>
              <w:rPr>
                <w:sz w:val="18"/>
              </w:rPr>
              <w:t>638</w:t>
            </w:r>
          </w:p>
        </w:tc>
        <w:tc>
          <w:tcPr>
            <w:tcW w:w="3180" w:type="dxa"/>
            <w:tcMar>
              <w:top w:w="0" w:type="dxa"/>
              <w:bottom w:w="0" w:type="dxa"/>
            </w:tcMar>
            <w:vAlign w:val="center"/>
          </w:tcPr>
          <w:p w14:paraId="66625F40" w14:textId="77777777" w:rsidR="001B250D"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66ED0013" w14:textId="77777777" w:rsidR="001B250D" w:rsidRDefault="00000000">
            <w:pPr>
              <w:keepNext/>
              <w:keepLines/>
              <w:spacing w:after="0" w:line="240" w:lineRule="auto"/>
            </w:pPr>
            <w:r>
              <w:rPr>
                <w:sz w:val="18"/>
              </w:rPr>
              <w:t>638</w:t>
            </w:r>
          </w:p>
        </w:tc>
        <w:tc>
          <w:tcPr>
            <w:tcW w:w="1860" w:type="dxa"/>
            <w:tcMar>
              <w:top w:w="0" w:type="dxa"/>
              <w:bottom w:w="0" w:type="dxa"/>
            </w:tcMar>
            <w:vAlign w:val="center"/>
          </w:tcPr>
          <w:p w14:paraId="2D28D356" w14:textId="77777777" w:rsidR="001B250D" w:rsidRDefault="00000000">
            <w:pPr>
              <w:keepNext/>
              <w:keepLines/>
              <w:spacing w:after="0" w:line="240" w:lineRule="auto"/>
              <w:jc w:val="right"/>
            </w:pPr>
            <w:r>
              <w:rPr>
                <w:sz w:val="18"/>
              </w:rPr>
              <w:t>435.379,44</w:t>
            </w:r>
          </w:p>
        </w:tc>
        <w:tc>
          <w:tcPr>
            <w:tcW w:w="1860" w:type="dxa"/>
            <w:tcMar>
              <w:top w:w="0" w:type="dxa"/>
              <w:bottom w:w="0" w:type="dxa"/>
            </w:tcMar>
            <w:vAlign w:val="center"/>
          </w:tcPr>
          <w:p w14:paraId="12405C71" w14:textId="77777777" w:rsidR="001B250D" w:rsidRDefault="00000000">
            <w:pPr>
              <w:keepNext/>
              <w:keepLines/>
              <w:spacing w:after="0" w:line="240" w:lineRule="auto"/>
              <w:jc w:val="right"/>
            </w:pPr>
            <w:r>
              <w:rPr>
                <w:sz w:val="18"/>
              </w:rPr>
              <w:t>845.081,51</w:t>
            </w:r>
          </w:p>
        </w:tc>
        <w:tc>
          <w:tcPr>
            <w:tcW w:w="700" w:type="dxa"/>
            <w:tcMar>
              <w:top w:w="0" w:type="dxa"/>
              <w:bottom w:w="0" w:type="dxa"/>
            </w:tcMar>
            <w:vAlign w:val="center"/>
          </w:tcPr>
          <w:p w14:paraId="4A27187E" w14:textId="77777777" w:rsidR="001B250D" w:rsidRDefault="00000000">
            <w:pPr>
              <w:keepNext/>
              <w:keepLines/>
              <w:spacing w:after="0" w:line="240" w:lineRule="auto"/>
              <w:jc w:val="right"/>
            </w:pPr>
            <w:r>
              <w:rPr>
                <w:sz w:val="18"/>
              </w:rPr>
              <w:t>194,1</w:t>
            </w:r>
          </w:p>
        </w:tc>
      </w:tr>
    </w:tbl>
    <w:p w14:paraId="2886A354" w14:textId="77777777" w:rsidR="001B250D" w:rsidRDefault="001B250D">
      <w:pPr>
        <w:spacing w:after="0"/>
      </w:pPr>
    </w:p>
    <w:p w14:paraId="5034A734" w14:textId="77777777" w:rsidR="001B250D" w:rsidRDefault="00000000">
      <w:r>
        <w:t xml:space="preserve">Pomoći temeljem prijenosa EU sredstava više su u odnosu na prethodnu godinu za 94,1% i iznose 845.081,51 Eura. U gradskom dijelu ostvareni iznos od 768.072,95 eura odnosi se na projekt </w:t>
      </w:r>
      <w:proofErr w:type="spellStart"/>
      <w:r>
        <w:t>FoRESisT</w:t>
      </w:r>
      <w:proofErr w:type="spellEnd"/>
      <w:r>
        <w:t xml:space="preserve"> –sufinanciran iz programa </w:t>
      </w:r>
      <w:proofErr w:type="spellStart"/>
      <w:r>
        <w:t>Interreg</w:t>
      </w:r>
      <w:proofErr w:type="spellEnd"/>
      <w:r>
        <w:t xml:space="preserve"> Slovenija – Hrvatska 2021.- 2027., (423.371,65 Eura), doznaku iz proračuna Općine Matulji u iznosu 233.518,94 eura temeljem Sporazuma o financiranju troškova Projekta sanacije i zatvaranja odlagališta neopasnog otpada </w:t>
      </w:r>
      <w:proofErr w:type="spellStart"/>
      <w:r>
        <w:t>Osojnica</w:t>
      </w:r>
      <w:proofErr w:type="spellEnd"/>
      <w:r>
        <w:t>) na ime pripadajućeg dijela EU sredstava ostvarenih prijenosom iz Državnog proračuna (po Ugovoru o sufinanciranju EU projekta), projekt Strategija zelene urbane obnove Grada Opatije na ime kojeg su ostvarena sredstva u iznosu od 27.532,36 eura, projekte obnove Dječjeg vrtića Veprinac 19.400,00 eura i dječjeg igrališta Pobri 64.250,00 eura. U promatranom razdoblju OŠ Opatija ostvarila je prihod od 77.008,56 eura za pomoćnike u nastavi.</w:t>
      </w:r>
    </w:p>
    <w:p w14:paraId="0EFF5FFE" w14:textId="77777777" w:rsidR="001B250D" w:rsidRDefault="001B250D"/>
    <w:p w14:paraId="76124E8A" w14:textId="77777777" w:rsidR="001B250D"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C7000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5BF7F9"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44DE67"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14F22F"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BA39B"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E0436E"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87AFCC" w14:textId="77777777" w:rsidR="001B250D" w:rsidRDefault="00000000">
            <w:pPr>
              <w:keepNext/>
              <w:keepLines/>
              <w:spacing w:after="0" w:line="240" w:lineRule="auto"/>
              <w:jc w:val="center"/>
            </w:pPr>
            <w:r>
              <w:rPr>
                <w:b/>
                <w:sz w:val="18"/>
              </w:rPr>
              <w:t>Indeks (%)</w:t>
            </w:r>
          </w:p>
        </w:tc>
      </w:tr>
      <w:tr w:rsidR="001B250D" w14:paraId="5166C98F" w14:textId="77777777">
        <w:tblPrEx>
          <w:tblCellMar>
            <w:top w:w="0" w:type="dxa"/>
            <w:bottom w:w="0" w:type="dxa"/>
          </w:tblCellMar>
        </w:tblPrEx>
        <w:trPr>
          <w:cantSplit/>
          <w:trHeight w:val="560"/>
        </w:trPr>
        <w:tc>
          <w:tcPr>
            <w:tcW w:w="700" w:type="dxa"/>
            <w:tcMar>
              <w:top w:w="0" w:type="dxa"/>
              <w:bottom w:w="0" w:type="dxa"/>
            </w:tcMar>
            <w:vAlign w:val="center"/>
          </w:tcPr>
          <w:p w14:paraId="4FE21E75" w14:textId="77777777" w:rsidR="001B250D" w:rsidRDefault="00000000">
            <w:pPr>
              <w:keepNext/>
              <w:keepLines/>
              <w:spacing w:after="0" w:line="240" w:lineRule="auto"/>
            </w:pPr>
            <w:r>
              <w:rPr>
                <w:sz w:val="18"/>
              </w:rPr>
              <w:t>641</w:t>
            </w:r>
          </w:p>
        </w:tc>
        <w:tc>
          <w:tcPr>
            <w:tcW w:w="3180" w:type="dxa"/>
            <w:tcMar>
              <w:top w:w="0" w:type="dxa"/>
              <w:bottom w:w="0" w:type="dxa"/>
            </w:tcMar>
            <w:vAlign w:val="center"/>
          </w:tcPr>
          <w:p w14:paraId="30B74BB7" w14:textId="77777777" w:rsidR="001B250D"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02E083D3" w14:textId="77777777" w:rsidR="001B250D" w:rsidRDefault="00000000">
            <w:pPr>
              <w:keepNext/>
              <w:keepLines/>
              <w:spacing w:after="0" w:line="240" w:lineRule="auto"/>
            </w:pPr>
            <w:r>
              <w:rPr>
                <w:sz w:val="18"/>
              </w:rPr>
              <w:t>641</w:t>
            </w:r>
          </w:p>
        </w:tc>
        <w:tc>
          <w:tcPr>
            <w:tcW w:w="1860" w:type="dxa"/>
            <w:tcMar>
              <w:top w:w="0" w:type="dxa"/>
              <w:bottom w:w="0" w:type="dxa"/>
            </w:tcMar>
            <w:vAlign w:val="center"/>
          </w:tcPr>
          <w:p w14:paraId="7A2DEF0B" w14:textId="77777777" w:rsidR="001B250D" w:rsidRDefault="00000000">
            <w:pPr>
              <w:keepNext/>
              <w:keepLines/>
              <w:spacing w:after="0" w:line="240" w:lineRule="auto"/>
              <w:jc w:val="right"/>
            </w:pPr>
            <w:r>
              <w:rPr>
                <w:sz w:val="18"/>
              </w:rPr>
              <w:t>270.703,36</w:t>
            </w:r>
          </w:p>
        </w:tc>
        <w:tc>
          <w:tcPr>
            <w:tcW w:w="1860" w:type="dxa"/>
            <w:tcMar>
              <w:top w:w="0" w:type="dxa"/>
              <w:bottom w:w="0" w:type="dxa"/>
            </w:tcMar>
            <w:vAlign w:val="center"/>
          </w:tcPr>
          <w:p w14:paraId="4F387E72" w14:textId="77777777" w:rsidR="001B250D" w:rsidRDefault="00000000">
            <w:pPr>
              <w:keepNext/>
              <w:keepLines/>
              <w:spacing w:after="0" w:line="240" w:lineRule="auto"/>
              <w:jc w:val="right"/>
            </w:pPr>
            <w:r>
              <w:rPr>
                <w:sz w:val="18"/>
              </w:rPr>
              <w:t>577.019,71</w:t>
            </w:r>
          </w:p>
        </w:tc>
        <w:tc>
          <w:tcPr>
            <w:tcW w:w="700" w:type="dxa"/>
            <w:tcMar>
              <w:top w:w="0" w:type="dxa"/>
              <w:bottom w:w="0" w:type="dxa"/>
            </w:tcMar>
            <w:vAlign w:val="center"/>
          </w:tcPr>
          <w:p w14:paraId="4557B926" w14:textId="77777777" w:rsidR="001B250D" w:rsidRDefault="00000000">
            <w:pPr>
              <w:keepNext/>
              <w:keepLines/>
              <w:spacing w:after="0" w:line="240" w:lineRule="auto"/>
              <w:jc w:val="right"/>
            </w:pPr>
            <w:r>
              <w:rPr>
                <w:sz w:val="18"/>
              </w:rPr>
              <w:t>213,2</w:t>
            </w:r>
          </w:p>
        </w:tc>
      </w:tr>
    </w:tbl>
    <w:p w14:paraId="6F4F5C39" w14:textId="77777777" w:rsidR="001B250D" w:rsidRDefault="001B250D">
      <w:pPr>
        <w:spacing w:after="0"/>
      </w:pPr>
    </w:p>
    <w:p w14:paraId="5291D86A" w14:textId="77777777" w:rsidR="001B250D" w:rsidRDefault="00000000">
      <w:r>
        <w:t>Prihodi od financijske imovine viši su za 113,2% u odnosu na prethodnu godinu na što je utjecalo ostvarenje prihoda iz dobiti trgovačkog društva Opatija 21 d.o.o. za 2023. godinu u iznosu od 415.853,05 Eura. Preostali dio odnosi na prihode od kamata na oročena sredstva i depozite po viđenju te prihod od zateznih kamata. </w:t>
      </w:r>
    </w:p>
    <w:p w14:paraId="40282EF4" w14:textId="77777777" w:rsidR="001B250D" w:rsidRDefault="001B250D"/>
    <w:p w14:paraId="609E1550" w14:textId="77777777" w:rsidR="001B250D"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34F26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A493A0"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C03ABD"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9A47CA"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0F623"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AF69D2"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7B4D3E" w14:textId="77777777" w:rsidR="001B250D" w:rsidRDefault="00000000">
            <w:pPr>
              <w:keepNext/>
              <w:keepLines/>
              <w:spacing w:after="0" w:line="240" w:lineRule="auto"/>
              <w:jc w:val="center"/>
            </w:pPr>
            <w:r>
              <w:rPr>
                <w:b/>
                <w:sz w:val="18"/>
              </w:rPr>
              <w:t>Indeks (%)</w:t>
            </w:r>
          </w:p>
        </w:tc>
      </w:tr>
      <w:tr w:rsidR="001B250D" w14:paraId="231A2916" w14:textId="77777777">
        <w:tblPrEx>
          <w:tblCellMar>
            <w:top w:w="0" w:type="dxa"/>
            <w:bottom w:w="0" w:type="dxa"/>
          </w:tblCellMar>
        </w:tblPrEx>
        <w:trPr>
          <w:cantSplit/>
          <w:trHeight w:val="560"/>
        </w:trPr>
        <w:tc>
          <w:tcPr>
            <w:tcW w:w="700" w:type="dxa"/>
            <w:tcMar>
              <w:top w:w="0" w:type="dxa"/>
              <w:bottom w:w="0" w:type="dxa"/>
            </w:tcMar>
            <w:vAlign w:val="center"/>
          </w:tcPr>
          <w:p w14:paraId="1E9639E8" w14:textId="77777777" w:rsidR="001B250D" w:rsidRDefault="00000000">
            <w:pPr>
              <w:keepNext/>
              <w:keepLines/>
              <w:spacing w:after="0" w:line="240" w:lineRule="auto"/>
            </w:pPr>
            <w:r>
              <w:rPr>
                <w:sz w:val="18"/>
              </w:rPr>
              <w:t>642</w:t>
            </w:r>
          </w:p>
        </w:tc>
        <w:tc>
          <w:tcPr>
            <w:tcW w:w="3180" w:type="dxa"/>
            <w:tcMar>
              <w:top w:w="0" w:type="dxa"/>
              <w:bottom w:w="0" w:type="dxa"/>
            </w:tcMar>
            <w:vAlign w:val="center"/>
          </w:tcPr>
          <w:p w14:paraId="043835E7" w14:textId="77777777" w:rsidR="001B250D"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7B78905E" w14:textId="77777777" w:rsidR="001B250D" w:rsidRDefault="00000000">
            <w:pPr>
              <w:keepNext/>
              <w:keepLines/>
              <w:spacing w:after="0" w:line="240" w:lineRule="auto"/>
            </w:pPr>
            <w:r>
              <w:rPr>
                <w:sz w:val="18"/>
              </w:rPr>
              <w:t>642</w:t>
            </w:r>
          </w:p>
        </w:tc>
        <w:tc>
          <w:tcPr>
            <w:tcW w:w="1860" w:type="dxa"/>
            <w:tcMar>
              <w:top w:w="0" w:type="dxa"/>
              <w:bottom w:w="0" w:type="dxa"/>
            </w:tcMar>
            <w:vAlign w:val="center"/>
          </w:tcPr>
          <w:p w14:paraId="5B4761DB" w14:textId="77777777" w:rsidR="001B250D" w:rsidRDefault="00000000">
            <w:pPr>
              <w:keepNext/>
              <w:keepLines/>
              <w:spacing w:after="0" w:line="240" w:lineRule="auto"/>
              <w:jc w:val="right"/>
            </w:pPr>
            <w:r>
              <w:rPr>
                <w:sz w:val="18"/>
              </w:rPr>
              <w:t>2.361.242,60</w:t>
            </w:r>
          </w:p>
        </w:tc>
        <w:tc>
          <w:tcPr>
            <w:tcW w:w="1860" w:type="dxa"/>
            <w:tcMar>
              <w:top w:w="0" w:type="dxa"/>
              <w:bottom w:w="0" w:type="dxa"/>
            </w:tcMar>
            <w:vAlign w:val="center"/>
          </w:tcPr>
          <w:p w14:paraId="5C81E433" w14:textId="77777777" w:rsidR="001B250D" w:rsidRDefault="00000000">
            <w:pPr>
              <w:keepNext/>
              <w:keepLines/>
              <w:spacing w:after="0" w:line="240" w:lineRule="auto"/>
              <w:jc w:val="right"/>
            </w:pPr>
            <w:r>
              <w:rPr>
                <w:sz w:val="18"/>
              </w:rPr>
              <w:t>2.439.799,94</w:t>
            </w:r>
          </w:p>
        </w:tc>
        <w:tc>
          <w:tcPr>
            <w:tcW w:w="700" w:type="dxa"/>
            <w:tcMar>
              <w:top w:w="0" w:type="dxa"/>
              <w:bottom w:w="0" w:type="dxa"/>
            </w:tcMar>
            <w:vAlign w:val="center"/>
          </w:tcPr>
          <w:p w14:paraId="7E1C69F7" w14:textId="77777777" w:rsidR="001B250D" w:rsidRDefault="00000000">
            <w:pPr>
              <w:keepNext/>
              <w:keepLines/>
              <w:spacing w:after="0" w:line="240" w:lineRule="auto"/>
              <w:jc w:val="right"/>
            </w:pPr>
            <w:r>
              <w:rPr>
                <w:sz w:val="18"/>
              </w:rPr>
              <w:t>103,3</w:t>
            </w:r>
          </w:p>
        </w:tc>
      </w:tr>
    </w:tbl>
    <w:p w14:paraId="3DA6EA50" w14:textId="77777777" w:rsidR="001B250D" w:rsidRDefault="001B250D">
      <w:pPr>
        <w:spacing w:after="0"/>
      </w:pPr>
    </w:p>
    <w:p w14:paraId="4777D72E" w14:textId="77777777" w:rsidR="001B250D" w:rsidRDefault="00000000">
      <w:r>
        <w:lastRenderedPageBreak/>
        <w:t>Prihodi od nefinancijske imovine nešto su viši u odnosu na prethodnu godinu (3,3%) i iznose 2.439.799,94 eura. Najznačajniji prihodi u okviru ove podskupine su prihodi od zakupa i iznajmljivanja imovine (zakup poslovnih prostora, najam stambenih prostora) koji su ostvareni u iznosu od 1.749.000,80 eura. </w:t>
      </w:r>
    </w:p>
    <w:p w14:paraId="5B86CA90" w14:textId="77777777" w:rsidR="001B250D" w:rsidRDefault="001B250D"/>
    <w:p w14:paraId="5D15E1C2" w14:textId="77777777" w:rsidR="001B250D"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1DA06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82BB73"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5DFACD"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6B6404"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E8A341"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CBB81F"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63705A" w14:textId="77777777" w:rsidR="001B250D" w:rsidRDefault="00000000">
            <w:pPr>
              <w:keepNext/>
              <w:keepLines/>
              <w:spacing w:after="0" w:line="240" w:lineRule="auto"/>
              <w:jc w:val="center"/>
            </w:pPr>
            <w:r>
              <w:rPr>
                <w:b/>
                <w:sz w:val="18"/>
              </w:rPr>
              <w:t>Indeks (%)</w:t>
            </w:r>
          </w:p>
        </w:tc>
      </w:tr>
      <w:tr w:rsidR="001B250D" w14:paraId="3F238375" w14:textId="77777777">
        <w:tblPrEx>
          <w:tblCellMar>
            <w:top w:w="0" w:type="dxa"/>
            <w:bottom w:w="0" w:type="dxa"/>
          </w:tblCellMar>
        </w:tblPrEx>
        <w:trPr>
          <w:cantSplit/>
          <w:trHeight w:val="560"/>
        </w:trPr>
        <w:tc>
          <w:tcPr>
            <w:tcW w:w="700" w:type="dxa"/>
            <w:tcMar>
              <w:top w:w="0" w:type="dxa"/>
              <w:bottom w:w="0" w:type="dxa"/>
            </w:tcMar>
            <w:vAlign w:val="center"/>
          </w:tcPr>
          <w:p w14:paraId="54398771" w14:textId="77777777" w:rsidR="001B250D" w:rsidRDefault="00000000">
            <w:pPr>
              <w:keepNext/>
              <w:keepLines/>
              <w:spacing w:after="0" w:line="240" w:lineRule="auto"/>
            </w:pPr>
            <w:r>
              <w:rPr>
                <w:sz w:val="18"/>
              </w:rPr>
              <w:t>65</w:t>
            </w:r>
          </w:p>
        </w:tc>
        <w:tc>
          <w:tcPr>
            <w:tcW w:w="3180" w:type="dxa"/>
            <w:tcMar>
              <w:top w:w="0" w:type="dxa"/>
              <w:bottom w:w="0" w:type="dxa"/>
            </w:tcMar>
            <w:vAlign w:val="center"/>
          </w:tcPr>
          <w:p w14:paraId="3E0DD397" w14:textId="77777777" w:rsidR="001B250D"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337B2405" w14:textId="77777777" w:rsidR="001B250D" w:rsidRDefault="00000000">
            <w:pPr>
              <w:keepNext/>
              <w:keepLines/>
              <w:spacing w:after="0" w:line="240" w:lineRule="auto"/>
            </w:pPr>
            <w:r>
              <w:rPr>
                <w:sz w:val="18"/>
              </w:rPr>
              <w:t>65</w:t>
            </w:r>
          </w:p>
        </w:tc>
        <w:tc>
          <w:tcPr>
            <w:tcW w:w="1860" w:type="dxa"/>
            <w:tcMar>
              <w:top w:w="0" w:type="dxa"/>
              <w:bottom w:w="0" w:type="dxa"/>
            </w:tcMar>
            <w:vAlign w:val="center"/>
          </w:tcPr>
          <w:p w14:paraId="16219754" w14:textId="77777777" w:rsidR="001B250D" w:rsidRDefault="00000000">
            <w:pPr>
              <w:keepNext/>
              <w:keepLines/>
              <w:spacing w:after="0" w:line="240" w:lineRule="auto"/>
              <w:jc w:val="right"/>
            </w:pPr>
            <w:r>
              <w:rPr>
                <w:sz w:val="18"/>
              </w:rPr>
              <w:t>4.505.899,17</w:t>
            </w:r>
          </w:p>
        </w:tc>
        <w:tc>
          <w:tcPr>
            <w:tcW w:w="1860" w:type="dxa"/>
            <w:tcMar>
              <w:top w:w="0" w:type="dxa"/>
              <w:bottom w:w="0" w:type="dxa"/>
            </w:tcMar>
            <w:vAlign w:val="center"/>
          </w:tcPr>
          <w:p w14:paraId="21B73E3F" w14:textId="77777777" w:rsidR="001B250D" w:rsidRDefault="00000000">
            <w:pPr>
              <w:keepNext/>
              <w:keepLines/>
              <w:spacing w:after="0" w:line="240" w:lineRule="auto"/>
              <w:jc w:val="right"/>
            </w:pPr>
            <w:r>
              <w:rPr>
                <w:sz w:val="18"/>
              </w:rPr>
              <w:t>4.914.953,86</w:t>
            </w:r>
          </w:p>
        </w:tc>
        <w:tc>
          <w:tcPr>
            <w:tcW w:w="700" w:type="dxa"/>
            <w:tcMar>
              <w:top w:w="0" w:type="dxa"/>
              <w:bottom w:w="0" w:type="dxa"/>
            </w:tcMar>
            <w:vAlign w:val="center"/>
          </w:tcPr>
          <w:p w14:paraId="0DDBAA5E" w14:textId="77777777" w:rsidR="001B250D" w:rsidRDefault="00000000">
            <w:pPr>
              <w:keepNext/>
              <w:keepLines/>
              <w:spacing w:after="0" w:line="240" w:lineRule="auto"/>
              <w:jc w:val="right"/>
            </w:pPr>
            <w:r>
              <w:rPr>
                <w:sz w:val="18"/>
              </w:rPr>
              <w:t>109,1</w:t>
            </w:r>
          </w:p>
        </w:tc>
      </w:tr>
    </w:tbl>
    <w:p w14:paraId="5076F8E5" w14:textId="77777777" w:rsidR="001B250D" w:rsidRDefault="001B250D">
      <w:pPr>
        <w:spacing w:after="0"/>
      </w:pPr>
    </w:p>
    <w:p w14:paraId="7F37376A" w14:textId="77777777" w:rsidR="001B250D" w:rsidRDefault="00000000">
      <w:r>
        <w:t>Prihodi od upravnih i administrativnih pristojbi i pristojbi po posebnim propisima viši su za 9,1%. U dijelu gradskih prihoda, koji iznose 4.320.469,58 eura, bilježi se rast od 10% na što je najvećim dijelom utjecao porast prihoda od komunalnog doprinosa dok je prihod od komunalne naknade na razini prošlogodišnjeg ostvarenja. Kod proračunskih korisnika prihodi iznose 594.484,28 eura, a odnose se na sufinanciranje roditelja u cijeni boravka djece u dječjem vrtiću, na sufinanciranje marende i produženog boravka u osnovnoj školi te za uplaćene članarine kod gradske knjižnice i čitaonice.</w:t>
      </w:r>
    </w:p>
    <w:p w14:paraId="0455CFA1" w14:textId="77777777" w:rsidR="001B250D" w:rsidRDefault="001B250D"/>
    <w:p w14:paraId="6B0AF92D" w14:textId="77777777" w:rsidR="001B250D"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F4C9E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061B33"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4E4413"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9670DA"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4673D"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A9555D"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3CD88F" w14:textId="77777777" w:rsidR="001B250D" w:rsidRDefault="00000000">
            <w:pPr>
              <w:keepNext/>
              <w:keepLines/>
              <w:spacing w:after="0" w:line="240" w:lineRule="auto"/>
              <w:jc w:val="center"/>
            </w:pPr>
            <w:r>
              <w:rPr>
                <w:b/>
                <w:sz w:val="18"/>
              </w:rPr>
              <w:t>Indeks (%)</w:t>
            </w:r>
          </w:p>
        </w:tc>
      </w:tr>
      <w:tr w:rsidR="001B250D" w14:paraId="2A3B551F" w14:textId="77777777">
        <w:tblPrEx>
          <w:tblCellMar>
            <w:top w:w="0" w:type="dxa"/>
            <w:bottom w:w="0" w:type="dxa"/>
          </w:tblCellMar>
        </w:tblPrEx>
        <w:trPr>
          <w:cantSplit/>
          <w:trHeight w:val="560"/>
        </w:trPr>
        <w:tc>
          <w:tcPr>
            <w:tcW w:w="700" w:type="dxa"/>
            <w:tcMar>
              <w:top w:w="0" w:type="dxa"/>
              <w:bottom w:w="0" w:type="dxa"/>
            </w:tcMar>
            <w:vAlign w:val="center"/>
          </w:tcPr>
          <w:p w14:paraId="596A3379" w14:textId="77777777" w:rsidR="001B250D" w:rsidRDefault="00000000">
            <w:pPr>
              <w:keepNext/>
              <w:keepLines/>
              <w:spacing w:after="0" w:line="240" w:lineRule="auto"/>
            </w:pPr>
            <w:r>
              <w:rPr>
                <w:sz w:val="18"/>
              </w:rPr>
              <w:t>663</w:t>
            </w:r>
          </w:p>
        </w:tc>
        <w:tc>
          <w:tcPr>
            <w:tcW w:w="3180" w:type="dxa"/>
            <w:tcMar>
              <w:top w:w="0" w:type="dxa"/>
              <w:bottom w:w="0" w:type="dxa"/>
            </w:tcMar>
            <w:vAlign w:val="center"/>
          </w:tcPr>
          <w:p w14:paraId="5A459D05" w14:textId="77777777" w:rsidR="001B250D"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3BA5B085" w14:textId="77777777" w:rsidR="001B250D" w:rsidRDefault="00000000">
            <w:pPr>
              <w:keepNext/>
              <w:keepLines/>
              <w:spacing w:after="0" w:line="240" w:lineRule="auto"/>
            </w:pPr>
            <w:r>
              <w:rPr>
                <w:sz w:val="18"/>
              </w:rPr>
              <w:t>663</w:t>
            </w:r>
          </w:p>
        </w:tc>
        <w:tc>
          <w:tcPr>
            <w:tcW w:w="1860" w:type="dxa"/>
            <w:tcMar>
              <w:top w:w="0" w:type="dxa"/>
              <w:bottom w:w="0" w:type="dxa"/>
            </w:tcMar>
            <w:vAlign w:val="center"/>
          </w:tcPr>
          <w:p w14:paraId="5E71A0C7" w14:textId="77777777" w:rsidR="001B250D" w:rsidRDefault="00000000">
            <w:pPr>
              <w:keepNext/>
              <w:keepLines/>
              <w:spacing w:after="0" w:line="240" w:lineRule="auto"/>
              <w:jc w:val="right"/>
            </w:pPr>
            <w:r>
              <w:rPr>
                <w:sz w:val="18"/>
              </w:rPr>
              <w:t>229.839,22</w:t>
            </w:r>
          </w:p>
        </w:tc>
        <w:tc>
          <w:tcPr>
            <w:tcW w:w="1860" w:type="dxa"/>
            <w:tcMar>
              <w:top w:w="0" w:type="dxa"/>
              <w:bottom w:w="0" w:type="dxa"/>
            </w:tcMar>
            <w:vAlign w:val="center"/>
          </w:tcPr>
          <w:p w14:paraId="4831D08D" w14:textId="77777777" w:rsidR="001B250D" w:rsidRDefault="00000000">
            <w:pPr>
              <w:keepNext/>
              <w:keepLines/>
              <w:spacing w:after="0" w:line="240" w:lineRule="auto"/>
              <w:jc w:val="right"/>
            </w:pPr>
            <w:r>
              <w:rPr>
                <w:sz w:val="18"/>
              </w:rPr>
              <w:t>501.038,66</w:t>
            </w:r>
          </w:p>
        </w:tc>
        <w:tc>
          <w:tcPr>
            <w:tcW w:w="700" w:type="dxa"/>
            <w:tcMar>
              <w:top w:w="0" w:type="dxa"/>
              <w:bottom w:w="0" w:type="dxa"/>
            </w:tcMar>
            <w:vAlign w:val="center"/>
          </w:tcPr>
          <w:p w14:paraId="3A1A9E65" w14:textId="77777777" w:rsidR="001B250D" w:rsidRDefault="00000000">
            <w:pPr>
              <w:keepNext/>
              <w:keepLines/>
              <w:spacing w:after="0" w:line="240" w:lineRule="auto"/>
              <w:jc w:val="right"/>
            </w:pPr>
            <w:r>
              <w:rPr>
                <w:sz w:val="18"/>
              </w:rPr>
              <w:t>218,0</w:t>
            </w:r>
          </w:p>
        </w:tc>
      </w:tr>
    </w:tbl>
    <w:p w14:paraId="413D443A" w14:textId="77777777" w:rsidR="001B250D" w:rsidRDefault="001B250D">
      <w:pPr>
        <w:spacing w:after="0"/>
      </w:pPr>
    </w:p>
    <w:p w14:paraId="666F4739" w14:textId="77777777" w:rsidR="001B250D" w:rsidRDefault="00000000">
      <w:r>
        <w:t>Prihodi od donacija u odnosu na prethodnu godinu viši su 118% i iznose 501.038,66 eura. U dijelu gradskih prihoda njihovo povećanje je rezultat ostvarene kapitalne donacije od fizičke osobe; donirano je zemljište procijenjene vrijednosti 332.300,00 eura. Za MO Ičići ostvareni su prihodi od donacija u iznosu od 12.850,00 eura. Kod proračunskih korisnika, osnovna škola evidentirala je prihod od donacije u iznosu od 1.540,00 Eura, dječji vrtić prihod od 9.716,03 eura, JVP iznos od 2.050,00 eura te Festival Opatija iznos od 28.240,00 eura.</w:t>
      </w:r>
    </w:p>
    <w:p w14:paraId="560C53F6" w14:textId="77777777" w:rsidR="001B250D" w:rsidRDefault="001B250D"/>
    <w:p w14:paraId="31FDE0AE" w14:textId="77777777" w:rsidR="001B250D"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D1CBB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A144A8"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D3CBE2"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1517A"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DF8DE3"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530BC4"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F730EC" w14:textId="77777777" w:rsidR="001B250D" w:rsidRDefault="00000000">
            <w:pPr>
              <w:keepNext/>
              <w:keepLines/>
              <w:spacing w:after="0" w:line="240" w:lineRule="auto"/>
              <w:jc w:val="center"/>
            </w:pPr>
            <w:r>
              <w:rPr>
                <w:b/>
                <w:sz w:val="18"/>
              </w:rPr>
              <w:t>Indeks (%)</w:t>
            </w:r>
          </w:p>
        </w:tc>
      </w:tr>
      <w:tr w:rsidR="001B250D" w14:paraId="30CBBBDD" w14:textId="77777777">
        <w:tblPrEx>
          <w:tblCellMar>
            <w:top w:w="0" w:type="dxa"/>
            <w:bottom w:w="0" w:type="dxa"/>
          </w:tblCellMar>
        </w:tblPrEx>
        <w:trPr>
          <w:cantSplit/>
          <w:trHeight w:val="560"/>
        </w:trPr>
        <w:tc>
          <w:tcPr>
            <w:tcW w:w="700" w:type="dxa"/>
            <w:tcMar>
              <w:top w:w="0" w:type="dxa"/>
              <w:bottom w:w="0" w:type="dxa"/>
            </w:tcMar>
            <w:vAlign w:val="center"/>
          </w:tcPr>
          <w:p w14:paraId="726360E5" w14:textId="77777777" w:rsidR="001B250D" w:rsidRDefault="00000000">
            <w:pPr>
              <w:keepNext/>
              <w:keepLines/>
              <w:spacing w:after="0" w:line="240" w:lineRule="auto"/>
            </w:pPr>
            <w:r>
              <w:rPr>
                <w:sz w:val="18"/>
              </w:rPr>
              <w:t>68</w:t>
            </w:r>
          </w:p>
        </w:tc>
        <w:tc>
          <w:tcPr>
            <w:tcW w:w="3180" w:type="dxa"/>
            <w:tcMar>
              <w:top w:w="0" w:type="dxa"/>
              <w:bottom w:w="0" w:type="dxa"/>
            </w:tcMar>
            <w:vAlign w:val="center"/>
          </w:tcPr>
          <w:p w14:paraId="6989288D" w14:textId="77777777" w:rsidR="001B250D"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4DE590B3" w14:textId="77777777" w:rsidR="001B250D" w:rsidRDefault="00000000">
            <w:pPr>
              <w:keepNext/>
              <w:keepLines/>
              <w:spacing w:after="0" w:line="240" w:lineRule="auto"/>
            </w:pPr>
            <w:r>
              <w:rPr>
                <w:sz w:val="18"/>
              </w:rPr>
              <w:t>68</w:t>
            </w:r>
          </w:p>
        </w:tc>
        <w:tc>
          <w:tcPr>
            <w:tcW w:w="1860" w:type="dxa"/>
            <w:tcMar>
              <w:top w:w="0" w:type="dxa"/>
              <w:bottom w:w="0" w:type="dxa"/>
            </w:tcMar>
            <w:vAlign w:val="center"/>
          </w:tcPr>
          <w:p w14:paraId="7AECF6F2" w14:textId="77777777" w:rsidR="001B250D" w:rsidRDefault="00000000">
            <w:pPr>
              <w:keepNext/>
              <w:keepLines/>
              <w:spacing w:after="0" w:line="240" w:lineRule="auto"/>
              <w:jc w:val="right"/>
            </w:pPr>
            <w:r>
              <w:rPr>
                <w:sz w:val="18"/>
              </w:rPr>
              <w:t>183.764,90</w:t>
            </w:r>
          </w:p>
        </w:tc>
        <w:tc>
          <w:tcPr>
            <w:tcW w:w="1860" w:type="dxa"/>
            <w:tcMar>
              <w:top w:w="0" w:type="dxa"/>
              <w:bottom w:w="0" w:type="dxa"/>
            </w:tcMar>
            <w:vAlign w:val="center"/>
          </w:tcPr>
          <w:p w14:paraId="6FCA8C89" w14:textId="77777777" w:rsidR="001B250D" w:rsidRDefault="00000000">
            <w:pPr>
              <w:keepNext/>
              <w:keepLines/>
              <w:spacing w:after="0" w:line="240" w:lineRule="auto"/>
              <w:jc w:val="right"/>
            </w:pPr>
            <w:r>
              <w:rPr>
                <w:sz w:val="18"/>
              </w:rPr>
              <w:t>169.906,18</w:t>
            </w:r>
          </w:p>
        </w:tc>
        <w:tc>
          <w:tcPr>
            <w:tcW w:w="700" w:type="dxa"/>
            <w:tcMar>
              <w:top w:w="0" w:type="dxa"/>
              <w:bottom w:w="0" w:type="dxa"/>
            </w:tcMar>
            <w:vAlign w:val="center"/>
          </w:tcPr>
          <w:p w14:paraId="487E4FE4" w14:textId="77777777" w:rsidR="001B250D" w:rsidRDefault="00000000">
            <w:pPr>
              <w:keepNext/>
              <w:keepLines/>
              <w:spacing w:after="0" w:line="240" w:lineRule="auto"/>
              <w:jc w:val="right"/>
            </w:pPr>
            <w:r>
              <w:rPr>
                <w:sz w:val="18"/>
              </w:rPr>
              <w:t>92,5</w:t>
            </w:r>
          </w:p>
        </w:tc>
      </w:tr>
    </w:tbl>
    <w:p w14:paraId="12F2E58E" w14:textId="77777777" w:rsidR="001B250D" w:rsidRDefault="001B250D">
      <w:pPr>
        <w:spacing w:after="0"/>
      </w:pPr>
    </w:p>
    <w:p w14:paraId="0B5D2B04" w14:textId="77777777" w:rsidR="001B250D" w:rsidRDefault="00000000">
      <w:r>
        <w:lastRenderedPageBreak/>
        <w:t>Kazne, upravne mjere i ostali prihodi niži su 7,5% u odnosu na prethodnu godinu zbog smanjenja prihoda od ostalih kazni, odnosno kazni iz nadležnosti prometnog i komunalnog redarstva. </w:t>
      </w:r>
    </w:p>
    <w:p w14:paraId="1047F54C" w14:textId="77777777" w:rsidR="001B250D" w:rsidRDefault="001B250D"/>
    <w:p w14:paraId="339A2AF8" w14:textId="77777777" w:rsidR="001B250D"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77129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F3513"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53F099"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41D720"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E6D3A5"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5245CC"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4C6952" w14:textId="77777777" w:rsidR="001B250D" w:rsidRDefault="00000000">
            <w:pPr>
              <w:keepNext/>
              <w:keepLines/>
              <w:spacing w:after="0" w:line="240" w:lineRule="auto"/>
              <w:jc w:val="center"/>
            </w:pPr>
            <w:r>
              <w:rPr>
                <w:b/>
                <w:sz w:val="18"/>
              </w:rPr>
              <w:t>Indeks (%)</w:t>
            </w:r>
          </w:p>
        </w:tc>
      </w:tr>
      <w:tr w:rsidR="001B250D" w14:paraId="603BE0F4" w14:textId="77777777">
        <w:tblPrEx>
          <w:tblCellMar>
            <w:top w:w="0" w:type="dxa"/>
            <w:bottom w:w="0" w:type="dxa"/>
          </w:tblCellMar>
        </w:tblPrEx>
        <w:trPr>
          <w:cantSplit/>
          <w:trHeight w:val="560"/>
        </w:trPr>
        <w:tc>
          <w:tcPr>
            <w:tcW w:w="700" w:type="dxa"/>
            <w:tcMar>
              <w:top w:w="0" w:type="dxa"/>
              <w:bottom w:w="0" w:type="dxa"/>
            </w:tcMar>
            <w:vAlign w:val="center"/>
          </w:tcPr>
          <w:p w14:paraId="6B5EAF50" w14:textId="77777777" w:rsidR="001B250D" w:rsidRDefault="00000000">
            <w:pPr>
              <w:keepNext/>
              <w:keepLines/>
              <w:spacing w:after="0" w:line="240" w:lineRule="auto"/>
            </w:pPr>
            <w:r>
              <w:rPr>
                <w:sz w:val="18"/>
              </w:rPr>
              <w:t>31</w:t>
            </w:r>
          </w:p>
        </w:tc>
        <w:tc>
          <w:tcPr>
            <w:tcW w:w="3180" w:type="dxa"/>
            <w:tcMar>
              <w:top w:w="0" w:type="dxa"/>
              <w:bottom w:w="0" w:type="dxa"/>
            </w:tcMar>
            <w:vAlign w:val="center"/>
          </w:tcPr>
          <w:p w14:paraId="2A786F39" w14:textId="77777777" w:rsidR="001B250D"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94FAB8E" w14:textId="77777777" w:rsidR="001B250D" w:rsidRDefault="00000000">
            <w:pPr>
              <w:keepNext/>
              <w:keepLines/>
              <w:spacing w:after="0" w:line="240" w:lineRule="auto"/>
            </w:pPr>
            <w:r>
              <w:rPr>
                <w:sz w:val="18"/>
              </w:rPr>
              <w:t>31</w:t>
            </w:r>
          </w:p>
        </w:tc>
        <w:tc>
          <w:tcPr>
            <w:tcW w:w="1860" w:type="dxa"/>
            <w:tcMar>
              <w:top w:w="0" w:type="dxa"/>
              <w:bottom w:w="0" w:type="dxa"/>
            </w:tcMar>
            <w:vAlign w:val="center"/>
          </w:tcPr>
          <w:p w14:paraId="30755C3A" w14:textId="77777777" w:rsidR="001B250D" w:rsidRDefault="00000000">
            <w:pPr>
              <w:keepNext/>
              <w:keepLines/>
              <w:spacing w:after="0" w:line="240" w:lineRule="auto"/>
              <w:jc w:val="right"/>
            </w:pPr>
            <w:r>
              <w:rPr>
                <w:sz w:val="18"/>
              </w:rPr>
              <w:t>9.471.277,17</w:t>
            </w:r>
          </w:p>
        </w:tc>
        <w:tc>
          <w:tcPr>
            <w:tcW w:w="1860" w:type="dxa"/>
            <w:tcMar>
              <w:top w:w="0" w:type="dxa"/>
              <w:bottom w:w="0" w:type="dxa"/>
            </w:tcMar>
            <w:vAlign w:val="center"/>
          </w:tcPr>
          <w:p w14:paraId="215FD74B" w14:textId="77777777" w:rsidR="001B250D" w:rsidRDefault="00000000">
            <w:pPr>
              <w:keepNext/>
              <w:keepLines/>
              <w:spacing w:after="0" w:line="240" w:lineRule="auto"/>
              <w:jc w:val="right"/>
            </w:pPr>
            <w:r>
              <w:rPr>
                <w:sz w:val="18"/>
              </w:rPr>
              <w:t>11.455.009,50</w:t>
            </w:r>
          </w:p>
        </w:tc>
        <w:tc>
          <w:tcPr>
            <w:tcW w:w="700" w:type="dxa"/>
            <w:tcMar>
              <w:top w:w="0" w:type="dxa"/>
              <w:bottom w:w="0" w:type="dxa"/>
            </w:tcMar>
            <w:vAlign w:val="center"/>
          </w:tcPr>
          <w:p w14:paraId="74D310E4" w14:textId="77777777" w:rsidR="001B250D" w:rsidRDefault="00000000">
            <w:pPr>
              <w:keepNext/>
              <w:keepLines/>
              <w:spacing w:after="0" w:line="240" w:lineRule="auto"/>
              <w:jc w:val="right"/>
            </w:pPr>
            <w:r>
              <w:rPr>
                <w:sz w:val="18"/>
              </w:rPr>
              <w:t>120,9</w:t>
            </w:r>
          </w:p>
        </w:tc>
      </w:tr>
    </w:tbl>
    <w:p w14:paraId="7431E0A8" w14:textId="77777777" w:rsidR="001B250D" w:rsidRDefault="001B250D">
      <w:pPr>
        <w:spacing w:after="0"/>
      </w:pPr>
    </w:p>
    <w:p w14:paraId="38847C13" w14:textId="77777777" w:rsidR="001B250D" w:rsidRDefault="00000000">
      <w:r>
        <w:t>Rashodi za zaposlene iznose 11.455.009,50 eura od čega gradski rashodi iznose  2.764.732,61 eura i viši su za 25,2% u odnosu na ostvarenje u prethodnoj godini. Rashodi proračunskih korisnika iznose 8.690.276,89 eura i viši su 20%. Općenito, porast troškova u ovoj skupini rashoda posljedica je povećanja bruto plaća i pratećih doprinosa kao i ostalih rashoda za zaposlene sukladno važećim propisima i kolektivnim ugovorima. </w:t>
      </w:r>
    </w:p>
    <w:p w14:paraId="4D98C63C" w14:textId="77777777" w:rsidR="001B250D" w:rsidRDefault="001B250D"/>
    <w:p w14:paraId="78F9C3C2" w14:textId="77777777" w:rsidR="001B250D"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3ACED0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D7F31F"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96B9AA"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5D7A97"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349F6F"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D56872"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14D8D3" w14:textId="77777777" w:rsidR="001B250D" w:rsidRDefault="00000000">
            <w:pPr>
              <w:keepNext/>
              <w:keepLines/>
              <w:spacing w:after="0" w:line="240" w:lineRule="auto"/>
              <w:jc w:val="center"/>
            </w:pPr>
            <w:r>
              <w:rPr>
                <w:b/>
                <w:sz w:val="18"/>
              </w:rPr>
              <w:t>Indeks (%)</w:t>
            </w:r>
          </w:p>
        </w:tc>
      </w:tr>
      <w:tr w:rsidR="001B250D" w14:paraId="709F3FA0" w14:textId="77777777">
        <w:tblPrEx>
          <w:tblCellMar>
            <w:top w:w="0" w:type="dxa"/>
            <w:bottom w:w="0" w:type="dxa"/>
          </w:tblCellMar>
        </w:tblPrEx>
        <w:trPr>
          <w:cantSplit/>
          <w:trHeight w:val="560"/>
        </w:trPr>
        <w:tc>
          <w:tcPr>
            <w:tcW w:w="700" w:type="dxa"/>
            <w:tcMar>
              <w:top w:w="0" w:type="dxa"/>
              <w:bottom w:w="0" w:type="dxa"/>
            </w:tcMar>
            <w:vAlign w:val="center"/>
          </w:tcPr>
          <w:p w14:paraId="2B1E9ACD" w14:textId="77777777" w:rsidR="001B250D" w:rsidRDefault="00000000">
            <w:pPr>
              <w:keepNext/>
              <w:keepLines/>
              <w:spacing w:after="0" w:line="240" w:lineRule="auto"/>
            </w:pPr>
            <w:r>
              <w:rPr>
                <w:sz w:val="18"/>
              </w:rPr>
              <w:t>32</w:t>
            </w:r>
          </w:p>
        </w:tc>
        <w:tc>
          <w:tcPr>
            <w:tcW w:w="3180" w:type="dxa"/>
            <w:tcMar>
              <w:top w:w="0" w:type="dxa"/>
              <w:bottom w:w="0" w:type="dxa"/>
            </w:tcMar>
            <w:vAlign w:val="center"/>
          </w:tcPr>
          <w:p w14:paraId="50256A3C" w14:textId="77777777" w:rsidR="001B250D"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46696FBD" w14:textId="77777777" w:rsidR="001B250D" w:rsidRDefault="00000000">
            <w:pPr>
              <w:keepNext/>
              <w:keepLines/>
              <w:spacing w:after="0" w:line="240" w:lineRule="auto"/>
            </w:pPr>
            <w:r>
              <w:rPr>
                <w:sz w:val="18"/>
              </w:rPr>
              <w:t>32</w:t>
            </w:r>
          </w:p>
        </w:tc>
        <w:tc>
          <w:tcPr>
            <w:tcW w:w="1860" w:type="dxa"/>
            <w:tcMar>
              <w:top w:w="0" w:type="dxa"/>
              <w:bottom w:w="0" w:type="dxa"/>
            </w:tcMar>
            <w:vAlign w:val="center"/>
          </w:tcPr>
          <w:p w14:paraId="55F08DBC" w14:textId="77777777" w:rsidR="001B250D" w:rsidRDefault="00000000">
            <w:pPr>
              <w:keepNext/>
              <w:keepLines/>
              <w:spacing w:after="0" w:line="240" w:lineRule="auto"/>
              <w:jc w:val="right"/>
            </w:pPr>
            <w:r>
              <w:rPr>
                <w:sz w:val="18"/>
              </w:rPr>
              <w:t>11.385.536,72</w:t>
            </w:r>
          </w:p>
        </w:tc>
        <w:tc>
          <w:tcPr>
            <w:tcW w:w="1860" w:type="dxa"/>
            <w:tcMar>
              <w:top w:w="0" w:type="dxa"/>
              <w:bottom w:w="0" w:type="dxa"/>
            </w:tcMar>
            <w:vAlign w:val="center"/>
          </w:tcPr>
          <w:p w14:paraId="087A4A9B" w14:textId="77777777" w:rsidR="001B250D" w:rsidRDefault="00000000">
            <w:pPr>
              <w:keepNext/>
              <w:keepLines/>
              <w:spacing w:after="0" w:line="240" w:lineRule="auto"/>
              <w:jc w:val="right"/>
            </w:pPr>
            <w:r>
              <w:rPr>
                <w:sz w:val="18"/>
              </w:rPr>
              <w:t>12.809.648,01</w:t>
            </w:r>
          </w:p>
        </w:tc>
        <w:tc>
          <w:tcPr>
            <w:tcW w:w="700" w:type="dxa"/>
            <w:tcMar>
              <w:top w:w="0" w:type="dxa"/>
              <w:bottom w:w="0" w:type="dxa"/>
            </w:tcMar>
            <w:vAlign w:val="center"/>
          </w:tcPr>
          <w:p w14:paraId="568CBF99" w14:textId="77777777" w:rsidR="001B250D" w:rsidRDefault="00000000">
            <w:pPr>
              <w:keepNext/>
              <w:keepLines/>
              <w:spacing w:after="0" w:line="240" w:lineRule="auto"/>
              <w:jc w:val="right"/>
            </w:pPr>
            <w:r>
              <w:rPr>
                <w:sz w:val="18"/>
              </w:rPr>
              <w:t>112,5</w:t>
            </w:r>
          </w:p>
        </w:tc>
      </w:tr>
    </w:tbl>
    <w:p w14:paraId="2858BE4F" w14:textId="77777777" w:rsidR="001B250D" w:rsidRDefault="001B250D">
      <w:pPr>
        <w:spacing w:after="0"/>
      </w:pPr>
    </w:p>
    <w:p w14:paraId="6F89A6CD" w14:textId="77777777" w:rsidR="001B250D" w:rsidRDefault="00000000">
      <w:r>
        <w:t>Materijalni rashodi iznose 12.809.648,01 eura i viši su za 12,5%. Općenito, prisutan je porast kod gotovo svih vrsta rashoda iz ove skupine. a najveći utjecaj ima porast od 20,9% za izdatke za usluge tekućeg i investicijskog održavanja budući da imaju najveći udio u ovim rashodima, a na njihovu visinu utječu promjene cijena usluga i količina izvedenih radova na održavanju komunalne infrastrukture. </w:t>
      </w:r>
    </w:p>
    <w:p w14:paraId="0ED0F8F7" w14:textId="77777777" w:rsidR="001B250D" w:rsidRDefault="001B250D"/>
    <w:p w14:paraId="01EBE431" w14:textId="77777777" w:rsidR="001B250D"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474DC4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DD1B7"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832FE0"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D07F6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4D395"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25DF76"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FA6DA8" w14:textId="77777777" w:rsidR="001B250D" w:rsidRDefault="00000000">
            <w:pPr>
              <w:keepNext/>
              <w:keepLines/>
              <w:spacing w:after="0" w:line="240" w:lineRule="auto"/>
              <w:jc w:val="center"/>
            </w:pPr>
            <w:r>
              <w:rPr>
                <w:b/>
                <w:sz w:val="18"/>
              </w:rPr>
              <w:t>Indeks (%)</w:t>
            </w:r>
          </w:p>
        </w:tc>
      </w:tr>
      <w:tr w:rsidR="001B250D" w14:paraId="4DE66454" w14:textId="77777777">
        <w:tblPrEx>
          <w:tblCellMar>
            <w:top w:w="0" w:type="dxa"/>
            <w:bottom w:w="0" w:type="dxa"/>
          </w:tblCellMar>
        </w:tblPrEx>
        <w:trPr>
          <w:cantSplit/>
          <w:trHeight w:val="560"/>
        </w:trPr>
        <w:tc>
          <w:tcPr>
            <w:tcW w:w="700" w:type="dxa"/>
            <w:tcMar>
              <w:top w:w="0" w:type="dxa"/>
              <w:bottom w:w="0" w:type="dxa"/>
            </w:tcMar>
            <w:vAlign w:val="center"/>
          </w:tcPr>
          <w:p w14:paraId="0D7000D6" w14:textId="77777777" w:rsidR="001B250D" w:rsidRDefault="00000000">
            <w:pPr>
              <w:keepNext/>
              <w:keepLines/>
              <w:spacing w:after="0" w:line="240" w:lineRule="auto"/>
            </w:pPr>
            <w:r>
              <w:rPr>
                <w:sz w:val="18"/>
              </w:rPr>
              <w:t>34</w:t>
            </w:r>
          </w:p>
        </w:tc>
        <w:tc>
          <w:tcPr>
            <w:tcW w:w="3180" w:type="dxa"/>
            <w:tcMar>
              <w:top w:w="0" w:type="dxa"/>
              <w:bottom w:w="0" w:type="dxa"/>
            </w:tcMar>
            <w:vAlign w:val="center"/>
          </w:tcPr>
          <w:p w14:paraId="1CDCBCD4" w14:textId="77777777" w:rsidR="001B250D"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5B44D580" w14:textId="77777777" w:rsidR="001B250D" w:rsidRDefault="00000000">
            <w:pPr>
              <w:keepNext/>
              <w:keepLines/>
              <w:spacing w:after="0" w:line="240" w:lineRule="auto"/>
            </w:pPr>
            <w:r>
              <w:rPr>
                <w:sz w:val="18"/>
              </w:rPr>
              <w:t>34</w:t>
            </w:r>
          </w:p>
        </w:tc>
        <w:tc>
          <w:tcPr>
            <w:tcW w:w="1860" w:type="dxa"/>
            <w:tcMar>
              <w:top w:w="0" w:type="dxa"/>
              <w:bottom w:w="0" w:type="dxa"/>
            </w:tcMar>
            <w:vAlign w:val="center"/>
          </w:tcPr>
          <w:p w14:paraId="7ABF6A16" w14:textId="77777777" w:rsidR="001B250D" w:rsidRDefault="00000000">
            <w:pPr>
              <w:keepNext/>
              <w:keepLines/>
              <w:spacing w:after="0" w:line="240" w:lineRule="auto"/>
              <w:jc w:val="right"/>
            </w:pPr>
            <w:r>
              <w:rPr>
                <w:sz w:val="18"/>
              </w:rPr>
              <w:t>154.906,17</w:t>
            </w:r>
          </w:p>
        </w:tc>
        <w:tc>
          <w:tcPr>
            <w:tcW w:w="1860" w:type="dxa"/>
            <w:tcMar>
              <w:top w:w="0" w:type="dxa"/>
              <w:bottom w:w="0" w:type="dxa"/>
            </w:tcMar>
            <w:vAlign w:val="center"/>
          </w:tcPr>
          <w:p w14:paraId="1C55BEFD" w14:textId="77777777" w:rsidR="001B250D" w:rsidRDefault="00000000">
            <w:pPr>
              <w:keepNext/>
              <w:keepLines/>
              <w:spacing w:after="0" w:line="240" w:lineRule="auto"/>
              <w:jc w:val="right"/>
            </w:pPr>
            <w:r>
              <w:rPr>
                <w:sz w:val="18"/>
              </w:rPr>
              <w:t>117.728,57</w:t>
            </w:r>
          </w:p>
        </w:tc>
        <w:tc>
          <w:tcPr>
            <w:tcW w:w="700" w:type="dxa"/>
            <w:tcMar>
              <w:top w:w="0" w:type="dxa"/>
              <w:bottom w:w="0" w:type="dxa"/>
            </w:tcMar>
            <w:vAlign w:val="center"/>
          </w:tcPr>
          <w:p w14:paraId="208CA017" w14:textId="77777777" w:rsidR="001B250D" w:rsidRDefault="00000000">
            <w:pPr>
              <w:keepNext/>
              <w:keepLines/>
              <w:spacing w:after="0" w:line="240" w:lineRule="auto"/>
              <w:jc w:val="right"/>
            </w:pPr>
            <w:r>
              <w:rPr>
                <w:sz w:val="18"/>
              </w:rPr>
              <w:t>76,0</w:t>
            </w:r>
          </w:p>
        </w:tc>
      </w:tr>
    </w:tbl>
    <w:p w14:paraId="1AA3B96B" w14:textId="77777777" w:rsidR="001B250D" w:rsidRDefault="001B250D">
      <w:pPr>
        <w:spacing w:after="0"/>
      </w:pPr>
    </w:p>
    <w:p w14:paraId="160CFB9D" w14:textId="77777777" w:rsidR="001B250D" w:rsidRDefault="00000000">
      <w:r>
        <w:t>Financijski rashodi odnose se na rashode za kamatu za primljene kredite i zajmove, rashode za bankarske usluge i usluge platnog prometa. </w:t>
      </w:r>
    </w:p>
    <w:p w14:paraId="0B1D834A" w14:textId="77777777" w:rsidR="001B250D" w:rsidRDefault="001B250D"/>
    <w:p w14:paraId="06426BC7" w14:textId="77777777" w:rsidR="001B250D"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4F072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2D661E"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B368EA"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CC8E95"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86BF1A"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5DFB2C"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799FB2" w14:textId="77777777" w:rsidR="001B250D" w:rsidRDefault="00000000">
            <w:pPr>
              <w:keepNext/>
              <w:keepLines/>
              <w:spacing w:after="0" w:line="240" w:lineRule="auto"/>
              <w:jc w:val="center"/>
            </w:pPr>
            <w:r>
              <w:rPr>
                <w:b/>
                <w:sz w:val="18"/>
              </w:rPr>
              <w:t>Indeks (%)</w:t>
            </w:r>
          </w:p>
        </w:tc>
      </w:tr>
      <w:tr w:rsidR="001B250D" w14:paraId="4E3C1A41" w14:textId="77777777">
        <w:tblPrEx>
          <w:tblCellMar>
            <w:top w:w="0" w:type="dxa"/>
            <w:bottom w:w="0" w:type="dxa"/>
          </w:tblCellMar>
        </w:tblPrEx>
        <w:trPr>
          <w:cantSplit/>
          <w:trHeight w:val="560"/>
        </w:trPr>
        <w:tc>
          <w:tcPr>
            <w:tcW w:w="700" w:type="dxa"/>
            <w:tcMar>
              <w:top w:w="0" w:type="dxa"/>
              <w:bottom w:w="0" w:type="dxa"/>
            </w:tcMar>
            <w:vAlign w:val="center"/>
          </w:tcPr>
          <w:p w14:paraId="175C6542" w14:textId="77777777" w:rsidR="001B250D" w:rsidRDefault="00000000">
            <w:pPr>
              <w:keepNext/>
              <w:keepLines/>
              <w:spacing w:after="0" w:line="240" w:lineRule="auto"/>
            </w:pPr>
            <w:r>
              <w:rPr>
                <w:sz w:val="18"/>
              </w:rPr>
              <w:t>35</w:t>
            </w:r>
          </w:p>
        </w:tc>
        <w:tc>
          <w:tcPr>
            <w:tcW w:w="3180" w:type="dxa"/>
            <w:tcMar>
              <w:top w:w="0" w:type="dxa"/>
              <w:bottom w:w="0" w:type="dxa"/>
            </w:tcMar>
            <w:vAlign w:val="center"/>
          </w:tcPr>
          <w:p w14:paraId="4EA5648D" w14:textId="77777777" w:rsidR="001B250D"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3A0F4B51" w14:textId="77777777" w:rsidR="001B250D" w:rsidRDefault="00000000">
            <w:pPr>
              <w:keepNext/>
              <w:keepLines/>
              <w:spacing w:after="0" w:line="240" w:lineRule="auto"/>
            </w:pPr>
            <w:r>
              <w:rPr>
                <w:sz w:val="18"/>
              </w:rPr>
              <w:t>35</w:t>
            </w:r>
          </w:p>
        </w:tc>
        <w:tc>
          <w:tcPr>
            <w:tcW w:w="1860" w:type="dxa"/>
            <w:tcMar>
              <w:top w:w="0" w:type="dxa"/>
              <w:bottom w:w="0" w:type="dxa"/>
            </w:tcMar>
            <w:vAlign w:val="center"/>
          </w:tcPr>
          <w:p w14:paraId="77C930F3" w14:textId="77777777" w:rsidR="001B250D" w:rsidRDefault="00000000">
            <w:pPr>
              <w:keepNext/>
              <w:keepLines/>
              <w:spacing w:after="0" w:line="240" w:lineRule="auto"/>
              <w:jc w:val="right"/>
            </w:pPr>
            <w:r>
              <w:rPr>
                <w:sz w:val="18"/>
              </w:rPr>
              <w:t>1.148.229,72</w:t>
            </w:r>
          </w:p>
        </w:tc>
        <w:tc>
          <w:tcPr>
            <w:tcW w:w="1860" w:type="dxa"/>
            <w:tcMar>
              <w:top w:w="0" w:type="dxa"/>
              <w:bottom w:w="0" w:type="dxa"/>
            </w:tcMar>
            <w:vAlign w:val="center"/>
          </w:tcPr>
          <w:p w14:paraId="7C67C1E6" w14:textId="77777777" w:rsidR="001B250D" w:rsidRDefault="00000000">
            <w:pPr>
              <w:keepNext/>
              <w:keepLines/>
              <w:spacing w:after="0" w:line="240" w:lineRule="auto"/>
              <w:jc w:val="right"/>
            </w:pPr>
            <w:r>
              <w:rPr>
                <w:sz w:val="18"/>
              </w:rPr>
              <w:t>1.461.628,16</w:t>
            </w:r>
          </w:p>
        </w:tc>
        <w:tc>
          <w:tcPr>
            <w:tcW w:w="700" w:type="dxa"/>
            <w:tcMar>
              <w:top w:w="0" w:type="dxa"/>
              <w:bottom w:w="0" w:type="dxa"/>
            </w:tcMar>
            <w:vAlign w:val="center"/>
          </w:tcPr>
          <w:p w14:paraId="33869CDA" w14:textId="77777777" w:rsidR="001B250D" w:rsidRDefault="00000000">
            <w:pPr>
              <w:keepNext/>
              <w:keepLines/>
              <w:spacing w:after="0" w:line="240" w:lineRule="auto"/>
              <w:jc w:val="right"/>
            </w:pPr>
            <w:r>
              <w:rPr>
                <w:sz w:val="18"/>
              </w:rPr>
              <w:t>127,3</w:t>
            </w:r>
          </w:p>
        </w:tc>
      </w:tr>
    </w:tbl>
    <w:p w14:paraId="72C81F41" w14:textId="77777777" w:rsidR="001B250D" w:rsidRDefault="001B250D">
      <w:pPr>
        <w:spacing w:after="0"/>
      </w:pPr>
    </w:p>
    <w:p w14:paraId="0263F32F" w14:textId="77777777" w:rsidR="001B250D" w:rsidRDefault="00000000">
      <w:r>
        <w:t>Subvencije su više za 27,3% u odnosu na prethodnu godinu, prvenstveno zbog većeg iznosa subvencije javnog prijevoza za 2025. godinu (KD Autotrolej d.o.o.) i većeg iznosa potpore poljoprivrednicima i obrtnicima i trgovačkim društvima u i izvan javnog sektora. Iznos realiziranih potpora ovisi o broju podnesenih zahtjeva potencijalnih korisnika.</w:t>
      </w:r>
    </w:p>
    <w:p w14:paraId="4F74FB36" w14:textId="77777777" w:rsidR="001B250D" w:rsidRDefault="001B250D"/>
    <w:p w14:paraId="55D615BE" w14:textId="77777777" w:rsidR="001B250D"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A6C33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0D03AD"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52BBAB"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F67552"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FC1B3"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B6D40E"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F209BC" w14:textId="77777777" w:rsidR="001B250D" w:rsidRDefault="00000000">
            <w:pPr>
              <w:keepNext/>
              <w:keepLines/>
              <w:spacing w:after="0" w:line="240" w:lineRule="auto"/>
              <w:jc w:val="center"/>
            </w:pPr>
            <w:r>
              <w:rPr>
                <w:b/>
                <w:sz w:val="18"/>
              </w:rPr>
              <w:t>Indeks (%)</w:t>
            </w:r>
          </w:p>
        </w:tc>
      </w:tr>
      <w:tr w:rsidR="001B250D" w14:paraId="15AA2E1A" w14:textId="77777777">
        <w:tblPrEx>
          <w:tblCellMar>
            <w:top w:w="0" w:type="dxa"/>
            <w:bottom w:w="0" w:type="dxa"/>
          </w:tblCellMar>
        </w:tblPrEx>
        <w:trPr>
          <w:cantSplit/>
          <w:trHeight w:val="560"/>
        </w:trPr>
        <w:tc>
          <w:tcPr>
            <w:tcW w:w="700" w:type="dxa"/>
            <w:tcMar>
              <w:top w:w="0" w:type="dxa"/>
              <w:bottom w:w="0" w:type="dxa"/>
            </w:tcMar>
            <w:vAlign w:val="center"/>
          </w:tcPr>
          <w:p w14:paraId="73F93882" w14:textId="77777777" w:rsidR="001B250D" w:rsidRDefault="00000000">
            <w:pPr>
              <w:keepNext/>
              <w:keepLines/>
              <w:spacing w:after="0" w:line="240" w:lineRule="auto"/>
            </w:pPr>
            <w:r>
              <w:rPr>
                <w:sz w:val="18"/>
              </w:rPr>
              <w:t>36</w:t>
            </w:r>
          </w:p>
        </w:tc>
        <w:tc>
          <w:tcPr>
            <w:tcW w:w="3180" w:type="dxa"/>
            <w:tcMar>
              <w:top w:w="0" w:type="dxa"/>
              <w:bottom w:w="0" w:type="dxa"/>
            </w:tcMar>
            <w:vAlign w:val="center"/>
          </w:tcPr>
          <w:p w14:paraId="3AF9D920" w14:textId="77777777" w:rsidR="001B250D"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1E0B6AE2" w14:textId="77777777" w:rsidR="001B250D" w:rsidRDefault="00000000">
            <w:pPr>
              <w:keepNext/>
              <w:keepLines/>
              <w:spacing w:after="0" w:line="240" w:lineRule="auto"/>
            </w:pPr>
            <w:r>
              <w:rPr>
                <w:sz w:val="18"/>
              </w:rPr>
              <w:t>36</w:t>
            </w:r>
          </w:p>
        </w:tc>
        <w:tc>
          <w:tcPr>
            <w:tcW w:w="1860" w:type="dxa"/>
            <w:tcMar>
              <w:top w:w="0" w:type="dxa"/>
              <w:bottom w:w="0" w:type="dxa"/>
            </w:tcMar>
            <w:vAlign w:val="center"/>
          </w:tcPr>
          <w:p w14:paraId="371013CE" w14:textId="77777777" w:rsidR="001B250D" w:rsidRDefault="00000000">
            <w:pPr>
              <w:keepNext/>
              <w:keepLines/>
              <w:spacing w:after="0" w:line="240" w:lineRule="auto"/>
              <w:jc w:val="right"/>
            </w:pPr>
            <w:r>
              <w:rPr>
                <w:sz w:val="18"/>
              </w:rPr>
              <w:t>254.145,50</w:t>
            </w:r>
          </w:p>
        </w:tc>
        <w:tc>
          <w:tcPr>
            <w:tcW w:w="1860" w:type="dxa"/>
            <w:tcMar>
              <w:top w:w="0" w:type="dxa"/>
              <w:bottom w:w="0" w:type="dxa"/>
            </w:tcMar>
            <w:vAlign w:val="center"/>
          </w:tcPr>
          <w:p w14:paraId="7ED4860C" w14:textId="77777777" w:rsidR="001B250D" w:rsidRDefault="00000000">
            <w:pPr>
              <w:keepNext/>
              <w:keepLines/>
              <w:spacing w:after="0" w:line="240" w:lineRule="auto"/>
              <w:jc w:val="right"/>
            </w:pPr>
            <w:r>
              <w:rPr>
                <w:sz w:val="18"/>
              </w:rPr>
              <w:t>972.176,50</w:t>
            </w:r>
          </w:p>
        </w:tc>
        <w:tc>
          <w:tcPr>
            <w:tcW w:w="700" w:type="dxa"/>
            <w:tcMar>
              <w:top w:w="0" w:type="dxa"/>
              <w:bottom w:w="0" w:type="dxa"/>
            </w:tcMar>
            <w:vAlign w:val="center"/>
          </w:tcPr>
          <w:p w14:paraId="3A276DC0" w14:textId="77777777" w:rsidR="001B250D" w:rsidRDefault="00000000">
            <w:pPr>
              <w:keepNext/>
              <w:keepLines/>
              <w:spacing w:after="0" w:line="240" w:lineRule="auto"/>
              <w:jc w:val="right"/>
            </w:pPr>
            <w:r>
              <w:rPr>
                <w:sz w:val="18"/>
              </w:rPr>
              <w:t>382,5</w:t>
            </w:r>
          </w:p>
        </w:tc>
      </w:tr>
    </w:tbl>
    <w:p w14:paraId="3CB75CA2" w14:textId="77777777" w:rsidR="001B250D" w:rsidRDefault="001B250D">
      <w:pPr>
        <w:spacing w:after="0"/>
      </w:pPr>
    </w:p>
    <w:p w14:paraId="61698DBD" w14:textId="77777777" w:rsidR="001B250D" w:rsidRDefault="00000000">
      <w:r>
        <w:t xml:space="preserve">U promatranom razdoblju izvršeni su rashodi na ime tekuće pomoći inozemnim vladama u iznosu od 222.885,80 eura (3611) te rashodi na ime tekuće pomoći temeljem prijenosa EU sredstava od 76.246,97 eura (3681) koje je Grad Opatija transferirao partnerima u projektu </w:t>
      </w:r>
      <w:proofErr w:type="spellStart"/>
      <w:r>
        <w:t>FoRESisT</w:t>
      </w:r>
      <w:proofErr w:type="spellEnd"/>
      <w:r>
        <w:t xml:space="preserve"> u RH i Sloveniju.</w:t>
      </w:r>
    </w:p>
    <w:p w14:paraId="296F722A" w14:textId="77777777" w:rsidR="001B250D" w:rsidRDefault="00000000">
      <w:r>
        <w:t>Tekuće pomoći drugom proračunu i izvanproračunskim korisnicima odnose se na stipendiranje učenika Grada Vukovara i iznose 7.500,00 eura, financiranje manifestacija u organizaciji Javne ustanove Park prirode Učka 14.000,00 eura (3631) te sufinanciranje troškova sanacije komunalne infrastrukture 53.218, eura (3632) u korist Općine Matulji.</w:t>
      </w:r>
    </w:p>
    <w:p w14:paraId="337B7B51" w14:textId="77777777" w:rsidR="001B250D" w:rsidRDefault="00000000">
      <w:r>
        <w:t>Pomoći proračunskim korisnicima drugih proračuna iznose 598.325,73 Eura, a najveći dio tih rashoda odnosi se na financiranje redovne i programske djelatnosti te kapitalnih ulaganja za Hrvatski muzej turizma.</w:t>
      </w:r>
    </w:p>
    <w:p w14:paraId="2336A5E6" w14:textId="77777777" w:rsidR="001B250D" w:rsidRDefault="00000000">
      <w:r>
        <w:t> </w:t>
      </w:r>
    </w:p>
    <w:p w14:paraId="0287295F" w14:textId="77777777" w:rsidR="001B250D" w:rsidRDefault="00000000">
      <w:r>
        <w:t> </w:t>
      </w:r>
    </w:p>
    <w:p w14:paraId="164AD990" w14:textId="77777777" w:rsidR="001B250D" w:rsidRDefault="001B250D"/>
    <w:p w14:paraId="508917B2" w14:textId="77777777" w:rsidR="001B250D"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3116B0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5EE2DA"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31A134"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024A32"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E50ED9"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775487"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F293A2" w14:textId="77777777" w:rsidR="001B250D" w:rsidRDefault="00000000">
            <w:pPr>
              <w:keepNext/>
              <w:keepLines/>
              <w:spacing w:after="0" w:line="240" w:lineRule="auto"/>
              <w:jc w:val="center"/>
            </w:pPr>
            <w:r>
              <w:rPr>
                <w:b/>
                <w:sz w:val="18"/>
              </w:rPr>
              <w:t>Indeks (%)</w:t>
            </w:r>
          </w:p>
        </w:tc>
      </w:tr>
      <w:tr w:rsidR="001B250D" w14:paraId="7EC6C4B5" w14:textId="77777777">
        <w:tblPrEx>
          <w:tblCellMar>
            <w:top w:w="0" w:type="dxa"/>
            <w:bottom w:w="0" w:type="dxa"/>
          </w:tblCellMar>
        </w:tblPrEx>
        <w:trPr>
          <w:cantSplit/>
          <w:trHeight w:val="560"/>
        </w:trPr>
        <w:tc>
          <w:tcPr>
            <w:tcW w:w="700" w:type="dxa"/>
            <w:tcMar>
              <w:top w:w="0" w:type="dxa"/>
              <w:bottom w:w="0" w:type="dxa"/>
            </w:tcMar>
            <w:vAlign w:val="center"/>
          </w:tcPr>
          <w:p w14:paraId="4E8A7BF9" w14:textId="77777777" w:rsidR="001B250D" w:rsidRDefault="00000000">
            <w:pPr>
              <w:keepNext/>
              <w:keepLines/>
              <w:spacing w:after="0" w:line="240" w:lineRule="auto"/>
            </w:pPr>
            <w:r>
              <w:rPr>
                <w:sz w:val="18"/>
              </w:rPr>
              <w:t>37</w:t>
            </w:r>
          </w:p>
        </w:tc>
        <w:tc>
          <w:tcPr>
            <w:tcW w:w="3180" w:type="dxa"/>
            <w:tcMar>
              <w:top w:w="0" w:type="dxa"/>
              <w:bottom w:w="0" w:type="dxa"/>
            </w:tcMar>
            <w:vAlign w:val="center"/>
          </w:tcPr>
          <w:p w14:paraId="31C2D9D2" w14:textId="77777777" w:rsidR="001B250D"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1B2B2961" w14:textId="77777777" w:rsidR="001B250D" w:rsidRDefault="00000000">
            <w:pPr>
              <w:keepNext/>
              <w:keepLines/>
              <w:spacing w:after="0" w:line="240" w:lineRule="auto"/>
            </w:pPr>
            <w:r>
              <w:rPr>
                <w:sz w:val="18"/>
              </w:rPr>
              <w:t>37</w:t>
            </w:r>
          </w:p>
        </w:tc>
        <w:tc>
          <w:tcPr>
            <w:tcW w:w="1860" w:type="dxa"/>
            <w:tcMar>
              <w:top w:w="0" w:type="dxa"/>
              <w:bottom w:w="0" w:type="dxa"/>
            </w:tcMar>
            <w:vAlign w:val="center"/>
          </w:tcPr>
          <w:p w14:paraId="61DF2AC7" w14:textId="77777777" w:rsidR="001B250D" w:rsidRDefault="00000000">
            <w:pPr>
              <w:keepNext/>
              <w:keepLines/>
              <w:spacing w:after="0" w:line="240" w:lineRule="auto"/>
              <w:jc w:val="right"/>
            </w:pPr>
            <w:r>
              <w:rPr>
                <w:sz w:val="18"/>
              </w:rPr>
              <w:t>936.867,38</w:t>
            </w:r>
          </w:p>
        </w:tc>
        <w:tc>
          <w:tcPr>
            <w:tcW w:w="1860" w:type="dxa"/>
            <w:tcMar>
              <w:top w:w="0" w:type="dxa"/>
              <w:bottom w:w="0" w:type="dxa"/>
            </w:tcMar>
            <w:vAlign w:val="center"/>
          </w:tcPr>
          <w:p w14:paraId="49790B81" w14:textId="77777777" w:rsidR="001B250D" w:rsidRDefault="00000000">
            <w:pPr>
              <w:keepNext/>
              <w:keepLines/>
              <w:spacing w:after="0" w:line="240" w:lineRule="auto"/>
              <w:jc w:val="right"/>
            </w:pPr>
            <w:r>
              <w:rPr>
                <w:sz w:val="18"/>
              </w:rPr>
              <w:t>1.190.503,38</w:t>
            </w:r>
          </w:p>
        </w:tc>
        <w:tc>
          <w:tcPr>
            <w:tcW w:w="700" w:type="dxa"/>
            <w:tcMar>
              <w:top w:w="0" w:type="dxa"/>
              <w:bottom w:w="0" w:type="dxa"/>
            </w:tcMar>
            <w:vAlign w:val="center"/>
          </w:tcPr>
          <w:p w14:paraId="43BB2D54" w14:textId="77777777" w:rsidR="001B250D" w:rsidRDefault="00000000">
            <w:pPr>
              <w:keepNext/>
              <w:keepLines/>
              <w:spacing w:after="0" w:line="240" w:lineRule="auto"/>
              <w:jc w:val="right"/>
            </w:pPr>
            <w:r>
              <w:rPr>
                <w:sz w:val="18"/>
              </w:rPr>
              <w:t>127,1</w:t>
            </w:r>
          </w:p>
        </w:tc>
      </w:tr>
    </w:tbl>
    <w:p w14:paraId="2A7541C0" w14:textId="77777777" w:rsidR="001B250D" w:rsidRDefault="001B250D">
      <w:pPr>
        <w:spacing w:after="0"/>
      </w:pPr>
    </w:p>
    <w:p w14:paraId="6F682F19" w14:textId="77777777" w:rsidR="001B250D" w:rsidRDefault="00000000">
      <w:r>
        <w:lastRenderedPageBreak/>
        <w:t>U gradskom dijelu rashodi ove skupine iznose 1.152.183,60 eura, a njihov porast od 26,8% rezultat je primjene nove Odluke o socijalnoj skrbi koja je stupila na snagu 01.01.2025.g., a kojom su povećana prava i oblici pomoći (pomoći za rođenje djeteta, podmirivanje troškova stanovanja, pomoći umirovljenicima, dodjele stipendija i sl.). Proračunski korisnici iskazuju iznos rashoda od 38.319,78 eura.</w:t>
      </w:r>
    </w:p>
    <w:p w14:paraId="0AE3D5CF" w14:textId="77777777" w:rsidR="001B250D" w:rsidRDefault="001B250D"/>
    <w:p w14:paraId="618E2643" w14:textId="77777777" w:rsidR="001B250D"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24E26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5EBDCB"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A3EC56"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AE860C"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5935EE"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76AE72"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0F3417" w14:textId="77777777" w:rsidR="001B250D" w:rsidRDefault="00000000">
            <w:pPr>
              <w:keepNext/>
              <w:keepLines/>
              <w:spacing w:after="0" w:line="240" w:lineRule="auto"/>
              <w:jc w:val="center"/>
            </w:pPr>
            <w:r>
              <w:rPr>
                <w:b/>
                <w:sz w:val="18"/>
              </w:rPr>
              <w:t>Indeks (%)</w:t>
            </w:r>
          </w:p>
        </w:tc>
      </w:tr>
      <w:tr w:rsidR="001B250D" w14:paraId="74596BDE" w14:textId="77777777">
        <w:tblPrEx>
          <w:tblCellMar>
            <w:top w:w="0" w:type="dxa"/>
            <w:bottom w:w="0" w:type="dxa"/>
          </w:tblCellMar>
        </w:tblPrEx>
        <w:trPr>
          <w:cantSplit/>
          <w:trHeight w:val="560"/>
        </w:trPr>
        <w:tc>
          <w:tcPr>
            <w:tcW w:w="700" w:type="dxa"/>
            <w:tcMar>
              <w:top w:w="0" w:type="dxa"/>
              <w:bottom w:w="0" w:type="dxa"/>
            </w:tcMar>
            <w:vAlign w:val="center"/>
          </w:tcPr>
          <w:p w14:paraId="0B319022" w14:textId="77777777" w:rsidR="001B250D" w:rsidRDefault="00000000">
            <w:pPr>
              <w:keepNext/>
              <w:keepLines/>
              <w:spacing w:after="0" w:line="240" w:lineRule="auto"/>
            </w:pPr>
            <w:r>
              <w:rPr>
                <w:sz w:val="18"/>
              </w:rPr>
              <w:t>96</w:t>
            </w:r>
          </w:p>
        </w:tc>
        <w:tc>
          <w:tcPr>
            <w:tcW w:w="3180" w:type="dxa"/>
            <w:tcMar>
              <w:top w:w="0" w:type="dxa"/>
              <w:bottom w:w="0" w:type="dxa"/>
            </w:tcMar>
            <w:vAlign w:val="center"/>
          </w:tcPr>
          <w:p w14:paraId="07732FEA" w14:textId="77777777" w:rsidR="001B250D"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6901DA05" w14:textId="77777777" w:rsidR="001B250D" w:rsidRDefault="00000000">
            <w:pPr>
              <w:keepNext/>
              <w:keepLines/>
              <w:spacing w:after="0" w:line="240" w:lineRule="auto"/>
            </w:pPr>
            <w:r>
              <w:rPr>
                <w:sz w:val="18"/>
              </w:rPr>
              <w:t>96</w:t>
            </w:r>
          </w:p>
        </w:tc>
        <w:tc>
          <w:tcPr>
            <w:tcW w:w="1860" w:type="dxa"/>
            <w:tcMar>
              <w:top w:w="0" w:type="dxa"/>
              <w:bottom w:w="0" w:type="dxa"/>
            </w:tcMar>
            <w:vAlign w:val="center"/>
          </w:tcPr>
          <w:p w14:paraId="0715E157" w14:textId="77777777" w:rsidR="001B250D" w:rsidRDefault="00000000">
            <w:pPr>
              <w:keepNext/>
              <w:keepLines/>
              <w:spacing w:after="0" w:line="240" w:lineRule="auto"/>
              <w:jc w:val="right"/>
            </w:pPr>
            <w:r>
              <w:rPr>
                <w:sz w:val="18"/>
              </w:rPr>
              <w:t>2.068.138,28</w:t>
            </w:r>
          </w:p>
        </w:tc>
        <w:tc>
          <w:tcPr>
            <w:tcW w:w="1860" w:type="dxa"/>
            <w:tcMar>
              <w:top w:w="0" w:type="dxa"/>
              <w:bottom w:w="0" w:type="dxa"/>
            </w:tcMar>
            <w:vAlign w:val="center"/>
          </w:tcPr>
          <w:p w14:paraId="6D728C49" w14:textId="77777777" w:rsidR="001B250D" w:rsidRDefault="00000000">
            <w:pPr>
              <w:keepNext/>
              <w:keepLines/>
              <w:spacing w:after="0" w:line="240" w:lineRule="auto"/>
              <w:jc w:val="right"/>
            </w:pPr>
            <w:r>
              <w:rPr>
                <w:sz w:val="18"/>
              </w:rPr>
              <w:t>3.355.067,93</w:t>
            </w:r>
          </w:p>
        </w:tc>
        <w:tc>
          <w:tcPr>
            <w:tcW w:w="700" w:type="dxa"/>
            <w:tcMar>
              <w:top w:w="0" w:type="dxa"/>
              <w:bottom w:w="0" w:type="dxa"/>
            </w:tcMar>
            <w:vAlign w:val="center"/>
          </w:tcPr>
          <w:p w14:paraId="5E7CC9DF" w14:textId="77777777" w:rsidR="001B250D" w:rsidRDefault="00000000">
            <w:pPr>
              <w:keepNext/>
              <w:keepLines/>
              <w:spacing w:after="0" w:line="240" w:lineRule="auto"/>
              <w:jc w:val="right"/>
            </w:pPr>
            <w:r>
              <w:rPr>
                <w:sz w:val="18"/>
              </w:rPr>
              <w:t>162,2</w:t>
            </w:r>
          </w:p>
        </w:tc>
      </w:tr>
    </w:tbl>
    <w:p w14:paraId="258C0728" w14:textId="77777777" w:rsidR="001B250D" w:rsidRDefault="001B250D">
      <w:pPr>
        <w:spacing w:after="0"/>
      </w:pPr>
    </w:p>
    <w:p w14:paraId="07FB4567" w14:textId="77777777" w:rsidR="001B250D" w:rsidRDefault="00000000">
      <w:r>
        <w:t>Zbog knjiženja koja su provedena na kontima potraživanja za pomoći, sukladno čl. 160 Pravilnika o proračunskom računovodstvu i računskom planu, ali i zbog većeg iznosa potraživanja za prihode poslovanja na podskupini računa 165 povećan je i saldo na skupini računa Obračunati prihodi poslovanja-nenaplaćeni (veza Bilješke br. 38,39 i 40).</w:t>
      </w:r>
    </w:p>
    <w:p w14:paraId="4DA238EA" w14:textId="77777777" w:rsidR="001B250D" w:rsidRDefault="001B250D"/>
    <w:p w14:paraId="636E4132" w14:textId="77777777" w:rsidR="001B250D"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495C64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C8135A"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9B24A8"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A2D60"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0BAEE4"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4133B3"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692FD1" w14:textId="77777777" w:rsidR="001B250D" w:rsidRDefault="00000000">
            <w:pPr>
              <w:keepNext/>
              <w:keepLines/>
              <w:spacing w:after="0" w:line="240" w:lineRule="auto"/>
              <w:jc w:val="center"/>
            </w:pPr>
            <w:r>
              <w:rPr>
                <w:b/>
                <w:sz w:val="18"/>
              </w:rPr>
              <w:t>Indeks (%)</w:t>
            </w:r>
          </w:p>
        </w:tc>
      </w:tr>
      <w:tr w:rsidR="001B250D" w14:paraId="76E4320A" w14:textId="77777777">
        <w:tblPrEx>
          <w:tblCellMar>
            <w:top w:w="0" w:type="dxa"/>
            <w:bottom w:w="0" w:type="dxa"/>
          </w:tblCellMar>
        </w:tblPrEx>
        <w:trPr>
          <w:cantSplit/>
          <w:trHeight w:val="560"/>
        </w:trPr>
        <w:tc>
          <w:tcPr>
            <w:tcW w:w="700" w:type="dxa"/>
            <w:tcMar>
              <w:top w:w="0" w:type="dxa"/>
              <w:bottom w:w="0" w:type="dxa"/>
            </w:tcMar>
            <w:vAlign w:val="center"/>
          </w:tcPr>
          <w:p w14:paraId="7880D614" w14:textId="77777777" w:rsidR="001B250D" w:rsidRDefault="00000000">
            <w:pPr>
              <w:keepNext/>
              <w:keepLines/>
              <w:spacing w:after="0" w:line="240" w:lineRule="auto"/>
            </w:pPr>
            <w:r>
              <w:rPr>
                <w:sz w:val="18"/>
              </w:rPr>
              <w:t>7</w:t>
            </w:r>
          </w:p>
        </w:tc>
        <w:tc>
          <w:tcPr>
            <w:tcW w:w="3180" w:type="dxa"/>
            <w:tcMar>
              <w:top w:w="0" w:type="dxa"/>
              <w:bottom w:w="0" w:type="dxa"/>
            </w:tcMar>
            <w:vAlign w:val="center"/>
          </w:tcPr>
          <w:p w14:paraId="01A1C3FE" w14:textId="77777777" w:rsidR="001B250D"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5E88B2A" w14:textId="77777777" w:rsidR="001B250D" w:rsidRDefault="00000000">
            <w:pPr>
              <w:keepNext/>
              <w:keepLines/>
              <w:spacing w:after="0" w:line="240" w:lineRule="auto"/>
            </w:pPr>
            <w:r>
              <w:rPr>
                <w:sz w:val="18"/>
              </w:rPr>
              <w:t>7</w:t>
            </w:r>
          </w:p>
        </w:tc>
        <w:tc>
          <w:tcPr>
            <w:tcW w:w="1860" w:type="dxa"/>
            <w:tcMar>
              <w:top w:w="0" w:type="dxa"/>
              <w:bottom w:w="0" w:type="dxa"/>
            </w:tcMar>
            <w:vAlign w:val="center"/>
          </w:tcPr>
          <w:p w14:paraId="352FA453" w14:textId="77777777" w:rsidR="001B250D" w:rsidRDefault="00000000">
            <w:pPr>
              <w:keepNext/>
              <w:keepLines/>
              <w:spacing w:after="0" w:line="240" w:lineRule="auto"/>
              <w:jc w:val="right"/>
            </w:pPr>
            <w:r>
              <w:rPr>
                <w:sz w:val="18"/>
              </w:rPr>
              <w:t>712.707,79</w:t>
            </w:r>
          </w:p>
        </w:tc>
        <w:tc>
          <w:tcPr>
            <w:tcW w:w="1860" w:type="dxa"/>
            <w:tcMar>
              <w:top w:w="0" w:type="dxa"/>
              <w:bottom w:w="0" w:type="dxa"/>
            </w:tcMar>
            <w:vAlign w:val="center"/>
          </w:tcPr>
          <w:p w14:paraId="7FBFCFD4" w14:textId="77777777" w:rsidR="001B250D" w:rsidRDefault="00000000">
            <w:pPr>
              <w:keepNext/>
              <w:keepLines/>
              <w:spacing w:after="0" w:line="240" w:lineRule="auto"/>
              <w:jc w:val="right"/>
            </w:pPr>
            <w:r>
              <w:rPr>
                <w:sz w:val="18"/>
              </w:rPr>
              <w:t>1.558.456,78</w:t>
            </w:r>
          </w:p>
        </w:tc>
        <w:tc>
          <w:tcPr>
            <w:tcW w:w="700" w:type="dxa"/>
            <w:tcMar>
              <w:top w:w="0" w:type="dxa"/>
              <w:bottom w:w="0" w:type="dxa"/>
            </w:tcMar>
            <w:vAlign w:val="center"/>
          </w:tcPr>
          <w:p w14:paraId="7C94E362" w14:textId="77777777" w:rsidR="001B250D" w:rsidRDefault="00000000">
            <w:pPr>
              <w:keepNext/>
              <w:keepLines/>
              <w:spacing w:after="0" w:line="240" w:lineRule="auto"/>
              <w:jc w:val="right"/>
            </w:pPr>
            <w:r>
              <w:rPr>
                <w:sz w:val="18"/>
              </w:rPr>
              <w:t>218,7</w:t>
            </w:r>
          </w:p>
        </w:tc>
      </w:tr>
    </w:tbl>
    <w:p w14:paraId="2B60AB2F" w14:textId="77777777" w:rsidR="001B250D" w:rsidRDefault="001B250D">
      <w:pPr>
        <w:spacing w:after="0"/>
      </w:pPr>
    </w:p>
    <w:p w14:paraId="36940629" w14:textId="77777777" w:rsidR="001B250D" w:rsidRDefault="00000000">
      <w:r>
        <w:t>Prihodi od prodaje nefinancijske imovine (7) iskazani su u iznosu od 1.558.456,78 eura i viši su za 118,7% u odnosu na prethodnu godinu budući da je u ovom izvještajnom razdoblju, između ostalog, realizirana prodaja dviju nekretnina veće ugovorene vrijednosti od ukupno 1.027.598,00 eura.</w:t>
      </w:r>
    </w:p>
    <w:p w14:paraId="67BD35CC" w14:textId="77777777" w:rsidR="001B250D" w:rsidRDefault="001B250D"/>
    <w:p w14:paraId="60C5CA52" w14:textId="77777777" w:rsidR="001B250D"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F0724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EF8541"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D7E3CE"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B43D5"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760EBB"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1FF94B"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AB9886" w14:textId="77777777" w:rsidR="001B250D" w:rsidRDefault="00000000">
            <w:pPr>
              <w:keepNext/>
              <w:keepLines/>
              <w:spacing w:after="0" w:line="240" w:lineRule="auto"/>
              <w:jc w:val="center"/>
            </w:pPr>
            <w:r>
              <w:rPr>
                <w:b/>
                <w:sz w:val="18"/>
              </w:rPr>
              <w:t>Indeks (%)</w:t>
            </w:r>
          </w:p>
        </w:tc>
      </w:tr>
      <w:tr w:rsidR="001B250D" w14:paraId="23916FA5" w14:textId="77777777">
        <w:tblPrEx>
          <w:tblCellMar>
            <w:top w:w="0" w:type="dxa"/>
            <w:bottom w:w="0" w:type="dxa"/>
          </w:tblCellMar>
        </w:tblPrEx>
        <w:trPr>
          <w:cantSplit/>
          <w:trHeight w:val="560"/>
        </w:trPr>
        <w:tc>
          <w:tcPr>
            <w:tcW w:w="700" w:type="dxa"/>
            <w:tcMar>
              <w:top w:w="0" w:type="dxa"/>
              <w:bottom w:w="0" w:type="dxa"/>
            </w:tcMar>
            <w:vAlign w:val="center"/>
          </w:tcPr>
          <w:p w14:paraId="700471FF" w14:textId="77777777" w:rsidR="001B250D" w:rsidRDefault="00000000">
            <w:pPr>
              <w:keepNext/>
              <w:keepLines/>
              <w:spacing w:after="0" w:line="240" w:lineRule="auto"/>
            </w:pPr>
            <w:r>
              <w:rPr>
                <w:sz w:val="18"/>
              </w:rPr>
              <w:t>4111</w:t>
            </w:r>
          </w:p>
        </w:tc>
        <w:tc>
          <w:tcPr>
            <w:tcW w:w="3180" w:type="dxa"/>
            <w:tcMar>
              <w:top w:w="0" w:type="dxa"/>
              <w:bottom w:w="0" w:type="dxa"/>
            </w:tcMar>
            <w:vAlign w:val="center"/>
          </w:tcPr>
          <w:p w14:paraId="759629B0" w14:textId="77777777" w:rsidR="001B250D" w:rsidRDefault="00000000">
            <w:pPr>
              <w:keepNext/>
              <w:keepLines/>
              <w:spacing w:after="0" w:line="240" w:lineRule="auto"/>
            </w:pPr>
            <w:r>
              <w:rPr>
                <w:sz w:val="18"/>
              </w:rPr>
              <w:t>Zemljište</w:t>
            </w:r>
          </w:p>
        </w:tc>
        <w:tc>
          <w:tcPr>
            <w:tcW w:w="700" w:type="dxa"/>
            <w:tcMar>
              <w:top w:w="0" w:type="dxa"/>
              <w:bottom w:w="0" w:type="dxa"/>
            </w:tcMar>
            <w:vAlign w:val="center"/>
          </w:tcPr>
          <w:p w14:paraId="1CCA2E10" w14:textId="77777777" w:rsidR="001B250D" w:rsidRDefault="00000000">
            <w:pPr>
              <w:keepNext/>
              <w:keepLines/>
              <w:spacing w:after="0" w:line="240" w:lineRule="auto"/>
            </w:pPr>
            <w:r>
              <w:rPr>
                <w:sz w:val="18"/>
              </w:rPr>
              <w:t>4111</w:t>
            </w:r>
          </w:p>
        </w:tc>
        <w:tc>
          <w:tcPr>
            <w:tcW w:w="1860" w:type="dxa"/>
            <w:tcMar>
              <w:top w:w="0" w:type="dxa"/>
              <w:bottom w:w="0" w:type="dxa"/>
            </w:tcMar>
            <w:vAlign w:val="center"/>
          </w:tcPr>
          <w:p w14:paraId="1355EFA9"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62D7E3AF" w14:textId="77777777" w:rsidR="001B250D" w:rsidRDefault="00000000">
            <w:pPr>
              <w:keepNext/>
              <w:keepLines/>
              <w:spacing w:after="0" w:line="240" w:lineRule="auto"/>
              <w:jc w:val="right"/>
            </w:pPr>
            <w:r>
              <w:rPr>
                <w:sz w:val="18"/>
              </w:rPr>
              <w:t>399.959,52</w:t>
            </w:r>
          </w:p>
        </w:tc>
        <w:tc>
          <w:tcPr>
            <w:tcW w:w="700" w:type="dxa"/>
            <w:tcMar>
              <w:top w:w="0" w:type="dxa"/>
              <w:bottom w:w="0" w:type="dxa"/>
            </w:tcMar>
            <w:vAlign w:val="center"/>
          </w:tcPr>
          <w:p w14:paraId="0F46A0BF" w14:textId="77777777" w:rsidR="001B250D" w:rsidRDefault="00000000">
            <w:pPr>
              <w:keepNext/>
              <w:keepLines/>
              <w:spacing w:after="0" w:line="240" w:lineRule="auto"/>
              <w:jc w:val="right"/>
            </w:pPr>
            <w:r>
              <w:rPr>
                <w:sz w:val="18"/>
              </w:rPr>
              <w:t>-</w:t>
            </w:r>
          </w:p>
        </w:tc>
      </w:tr>
    </w:tbl>
    <w:p w14:paraId="1D74BF85" w14:textId="77777777" w:rsidR="001B250D" w:rsidRDefault="001B250D">
      <w:pPr>
        <w:spacing w:after="0"/>
      </w:pPr>
    </w:p>
    <w:p w14:paraId="22E41C19" w14:textId="77777777" w:rsidR="001B250D" w:rsidRDefault="00000000">
      <w:r>
        <w:t>Materijalna imovina – prirodna bogatstva  iskazuje rashode za realizirani otkup zemljišta u ovom razdoblju, a koji je izostao prethodne godine te za primljenu donaciju - zemljište procijenjene vrijednosti 332.300,00 eura. Donacija je evidentirana u poslovnim knjigama u skladu s čl. 117. Pravilnika o proračunskom računovodstvu i računskom planu.</w:t>
      </w:r>
    </w:p>
    <w:p w14:paraId="2416A933" w14:textId="77777777" w:rsidR="001B250D" w:rsidRDefault="001B250D"/>
    <w:p w14:paraId="1465D343" w14:textId="77777777" w:rsidR="001B250D"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2D97EB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665AA1"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AF892F"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EC0D7"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8E02F"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AD2A04"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1A51C" w14:textId="77777777" w:rsidR="001B250D" w:rsidRDefault="00000000">
            <w:pPr>
              <w:keepNext/>
              <w:keepLines/>
              <w:spacing w:after="0" w:line="240" w:lineRule="auto"/>
              <w:jc w:val="center"/>
            </w:pPr>
            <w:r>
              <w:rPr>
                <w:b/>
                <w:sz w:val="18"/>
              </w:rPr>
              <w:t>Indeks (%)</w:t>
            </w:r>
          </w:p>
        </w:tc>
      </w:tr>
      <w:tr w:rsidR="001B250D" w14:paraId="55F90C22" w14:textId="77777777">
        <w:tblPrEx>
          <w:tblCellMar>
            <w:top w:w="0" w:type="dxa"/>
            <w:bottom w:w="0" w:type="dxa"/>
          </w:tblCellMar>
        </w:tblPrEx>
        <w:trPr>
          <w:cantSplit/>
          <w:trHeight w:val="560"/>
        </w:trPr>
        <w:tc>
          <w:tcPr>
            <w:tcW w:w="700" w:type="dxa"/>
            <w:tcMar>
              <w:top w:w="0" w:type="dxa"/>
              <w:bottom w:w="0" w:type="dxa"/>
            </w:tcMar>
            <w:vAlign w:val="center"/>
          </w:tcPr>
          <w:p w14:paraId="383FEB61" w14:textId="77777777" w:rsidR="001B250D" w:rsidRDefault="00000000">
            <w:pPr>
              <w:keepNext/>
              <w:keepLines/>
              <w:spacing w:after="0" w:line="240" w:lineRule="auto"/>
            </w:pPr>
            <w:r>
              <w:rPr>
                <w:sz w:val="18"/>
              </w:rPr>
              <w:t>4124</w:t>
            </w:r>
          </w:p>
        </w:tc>
        <w:tc>
          <w:tcPr>
            <w:tcW w:w="3180" w:type="dxa"/>
            <w:tcMar>
              <w:top w:w="0" w:type="dxa"/>
              <w:bottom w:w="0" w:type="dxa"/>
            </w:tcMar>
            <w:vAlign w:val="center"/>
          </w:tcPr>
          <w:p w14:paraId="0735B245" w14:textId="77777777" w:rsidR="001B250D" w:rsidRDefault="00000000">
            <w:pPr>
              <w:keepNext/>
              <w:keepLines/>
              <w:spacing w:after="0" w:line="240" w:lineRule="auto"/>
            </w:pPr>
            <w:r>
              <w:rPr>
                <w:sz w:val="18"/>
              </w:rPr>
              <w:t>Ostala prava</w:t>
            </w:r>
          </w:p>
        </w:tc>
        <w:tc>
          <w:tcPr>
            <w:tcW w:w="700" w:type="dxa"/>
            <w:tcMar>
              <w:top w:w="0" w:type="dxa"/>
              <w:bottom w:w="0" w:type="dxa"/>
            </w:tcMar>
            <w:vAlign w:val="center"/>
          </w:tcPr>
          <w:p w14:paraId="3204C63A" w14:textId="77777777" w:rsidR="001B250D" w:rsidRDefault="00000000">
            <w:pPr>
              <w:keepNext/>
              <w:keepLines/>
              <w:spacing w:after="0" w:line="240" w:lineRule="auto"/>
            </w:pPr>
            <w:r>
              <w:rPr>
                <w:sz w:val="18"/>
              </w:rPr>
              <w:t>4124</w:t>
            </w:r>
          </w:p>
        </w:tc>
        <w:tc>
          <w:tcPr>
            <w:tcW w:w="1860" w:type="dxa"/>
            <w:tcMar>
              <w:top w:w="0" w:type="dxa"/>
              <w:bottom w:w="0" w:type="dxa"/>
            </w:tcMar>
            <w:vAlign w:val="center"/>
          </w:tcPr>
          <w:p w14:paraId="7C356BA5"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286F8B35" w14:textId="77777777" w:rsidR="001B250D" w:rsidRDefault="00000000">
            <w:pPr>
              <w:keepNext/>
              <w:keepLines/>
              <w:spacing w:after="0" w:line="240" w:lineRule="auto"/>
              <w:jc w:val="right"/>
            </w:pPr>
            <w:r>
              <w:rPr>
                <w:sz w:val="18"/>
              </w:rPr>
              <w:t>4.858,75</w:t>
            </w:r>
          </w:p>
        </w:tc>
        <w:tc>
          <w:tcPr>
            <w:tcW w:w="700" w:type="dxa"/>
            <w:tcMar>
              <w:top w:w="0" w:type="dxa"/>
              <w:bottom w:w="0" w:type="dxa"/>
            </w:tcMar>
            <w:vAlign w:val="center"/>
          </w:tcPr>
          <w:p w14:paraId="5A3C4A3E" w14:textId="77777777" w:rsidR="001B250D" w:rsidRDefault="00000000">
            <w:pPr>
              <w:keepNext/>
              <w:keepLines/>
              <w:spacing w:after="0" w:line="240" w:lineRule="auto"/>
              <w:jc w:val="right"/>
            </w:pPr>
            <w:r>
              <w:rPr>
                <w:sz w:val="18"/>
              </w:rPr>
              <w:t>-</w:t>
            </w:r>
          </w:p>
        </w:tc>
      </w:tr>
    </w:tbl>
    <w:p w14:paraId="4E534580" w14:textId="77777777" w:rsidR="001B250D" w:rsidRDefault="001B250D">
      <w:pPr>
        <w:spacing w:after="0"/>
      </w:pPr>
    </w:p>
    <w:p w14:paraId="6B9E0E79" w14:textId="77777777" w:rsidR="001B250D" w:rsidRDefault="00000000">
      <w:r>
        <w:t>Rashod iskazuje samo osnovna škola.</w:t>
      </w:r>
    </w:p>
    <w:p w14:paraId="299E2308" w14:textId="77777777" w:rsidR="001B250D" w:rsidRDefault="001B250D"/>
    <w:p w14:paraId="32B2B31D" w14:textId="77777777" w:rsidR="001B250D"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A3381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8E24C6"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256D1D"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7B950"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ED32B6"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BF6BAC"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92938F" w14:textId="77777777" w:rsidR="001B250D" w:rsidRDefault="00000000">
            <w:pPr>
              <w:keepNext/>
              <w:keepLines/>
              <w:spacing w:after="0" w:line="240" w:lineRule="auto"/>
              <w:jc w:val="center"/>
            </w:pPr>
            <w:r>
              <w:rPr>
                <w:b/>
                <w:sz w:val="18"/>
              </w:rPr>
              <w:t>Indeks (%)</w:t>
            </w:r>
          </w:p>
        </w:tc>
      </w:tr>
      <w:tr w:rsidR="001B250D" w14:paraId="38D67FF2" w14:textId="77777777">
        <w:tblPrEx>
          <w:tblCellMar>
            <w:top w:w="0" w:type="dxa"/>
            <w:bottom w:w="0" w:type="dxa"/>
          </w:tblCellMar>
        </w:tblPrEx>
        <w:trPr>
          <w:cantSplit/>
          <w:trHeight w:val="560"/>
        </w:trPr>
        <w:tc>
          <w:tcPr>
            <w:tcW w:w="700" w:type="dxa"/>
            <w:tcMar>
              <w:top w:w="0" w:type="dxa"/>
              <w:bottom w:w="0" w:type="dxa"/>
            </w:tcMar>
            <w:vAlign w:val="center"/>
          </w:tcPr>
          <w:p w14:paraId="250B7A86" w14:textId="77777777" w:rsidR="001B250D" w:rsidRDefault="00000000">
            <w:pPr>
              <w:keepNext/>
              <w:keepLines/>
              <w:spacing w:after="0" w:line="240" w:lineRule="auto"/>
            </w:pPr>
            <w:r>
              <w:rPr>
                <w:sz w:val="18"/>
              </w:rPr>
              <w:t>4212</w:t>
            </w:r>
          </w:p>
        </w:tc>
        <w:tc>
          <w:tcPr>
            <w:tcW w:w="3180" w:type="dxa"/>
            <w:tcMar>
              <w:top w:w="0" w:type="dxa"/>
              <w:bottom w:w="0" w:type="dxa"/>
            </w:tcMar>
            <w:vAlign w:val="center"/>
          </w:tcPr>
          <w:p w14:paraId="4468270B" w14:textId="77777777" w:rsidR="001B250D" w:rsidRDefault="00000000">
            <w:pPr>
              <w:keepNext/>
              <w:keepLines/>
              <w:spacing w:after="0" w:line="240" w:lineRule="auto"/>
            </w:pPr>
            <w:r>
              <w:rPr>
                <w:sz w:val="18"/>
              </w:rPr>
              <w:t>Poslovni objekti</w:t>
            </w:r>
          </w:p>
        </w:tc>
        <w:tc>
          <w:tcPr>
            <w:tcW w:w="700" w:type="dxa"/>
            <w:tcMar>
              <w:top w:w="0" w:type="dxa"/>
              <w:bottom w:w="0" w:type="dxa"/>
            </w:tcMar>
            <w:vAlign w:val="center"/>
          </w:tcPr>
          <w:p w14:paraId="6AAEABF5" w14:textId="77777777" w:rsidR="001B250D" w:rsidRDefault="00000000">
            <w:pPr>
              <w:keepNext/>
              <w:keepLines/>
              <w:spacing w:after="0" w:line="240" w:lineRule="auto"/>
            </w:pPr>
            <w:r>
              <w:rPr>
                <w:sz w:val="18"/>
              </w:rPr>
              <w:t>4212</w:t>
            </w:r>
          </w:p>
        </w:tc>
        <w:tc>
          <w:tcPr>
            <w:tcW w:w="1860" w:type="dxa"/>
            <w:tcMar>
              <w:top w:w="0" w:type="dxa"/>
              <w:bottom w:w="0" w:type="dxa"/>
            </w:tcMar>
            <w:vAlign w:val="center"/>
          </w:tcPr>
          <w:p w14:paraId="4A07C379" w14:textId="77777777" w:rsidR="001B250D" w:rsidRDefault="00000000">
            <w:pPr>
              <w:keepNext/>
              <w:keepLines/>
              <w:spacing w:after="0" w:line="240" w:lineRule="auto"/>
              <w:jc w:val="right"/>
            </w:pPr>
            <w:r>
              <w:rPr>
                <w:sz w:val="18"/>
              </w:rPr>
              <w:t>32.375,00</w:t>
            </w:r>
          </w:p>
        </w:tc>
        <w:tc>
          <w:tcPr>
            <w:tcW w:w="1860" w:type="dxa"/>
            <w:tcMar>
              <w:top w:w="0" w:type="dxa"/>
              <w:bottom w:w="0" w:type="dxa"/>
            </w:tcMar>
            <w:vAlign w:val="center"/>
          </w:tcPr>
          <w:p w14:paraId="26E2E142" w14:textId="77777777" w:rsidR="001B250D" w:rsidRDefault="00000000">
            <w:pPr>
              <w:keepNext/>
              <w:keepLines/>
              <w:spacing w:after="0" w:line="240" w:lineRule="auto"/>
              <w:jc w:val="right"/>
            </w:pPr>
            <w:r>
              <w:rPr>
                <w:sz w:val="18"/>
              </w:rPr>
              <w:t>104.375,00</w:t>
            </w:r>
          </w:p>
        </w:tc>
        <w:tc>
          <w:tcPr>
            <w:tcW w:w="700" w:type="dxa"/>
            <w:tcMar>
              <w:top w:w="0" w:type="dxa"/>
              <w:bottom w:w="0" w:type="dxa"/>
            </w:tcMar>
            <w:vAlign w:val="center"/>
          </w:tcPr>
          <w:p w14:paraId="68E874D2" w14:textId="77777777" w:rsidR="001B250D" w:rsidRDefault="00000000">
            <w:pPr>
              <w:keepNext/>
              <w:keepLines/>
              <w:spacing w:after="0" w:line="240" w:lineRule="auto"/>
              <w:jc w:val="right"/>
            </w:pPr>
            <w:r>
              <w:rPr>
                <w:sz w:val="18"/>
              </w:rPr>
              <w:t>322,4</w:t>
            </w:r>
          </w:p>
        </w:tc>
      </w:tr>
    </w:tbl>
    <w:p w14:paraId="17F730B9" w14:textId="77777777" w:rsidR="001B250D" w:rsidRDefault="001B250D">
      <w:pPr>
        <w:spacing w:after="0"/>
      </w:pPr>
    </w:p>
    <w:p w14:paraId="0114D977" w14:textId="77777777" w:rsidR="001B250D" w:rsidRDefault="00000000">
      <w:r>
        <w:t>Iskazani rashodi odnose se na obnovu dvorane 71.500 eura te blagovaonice i kuhinje 32.875 eura u osnovnoj školi.</w:t>
      </w:r>
    </w:p>
    <w:p w14:paraId="17E75CCF" w14:textId="77777777" w:rsidR="001B250D" w:rsidRDefault="001B250D"/>
    <w:p w14:paraId="21E03BFB" w14:textId="77777777" w:rsidR="001B250D"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5224D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69D5CD"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3BF1DA"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BA0842"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B95D1"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0F6036"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EABB5A" w14:textId="77777777" w:rsidR="001B250D" w:rsidRDefault="00000000">
            <w:pPr>
              <w:keepNext/>
              <w:keepLines/>
              <w:spacing w:after="0" w:line="240" w:lineRule="auto"/>
              <w:jc w:val="center"/>
            </w:pPr>
            <w:r>
              <w:rPr>
                <w:b/>
                <w:sz w:val="18"/>
              </w:rPr>
              <w:t>Indeks (%)</w:t>
            </w:r>
          </w:p>
        </w:tc>
      </w:tr>
      <w:tr w:rsidR="001B250D" w14:paraId="182B08AD" w14:textId="77777777">
        <w:tblPrEx>
          <w:tblCellMar>
            <w:top w:w="0" w:type="dxa"/>
            <w:bottom w:w="0" w:type="dxa"/>
          </w:tblCellMar>
        </w:tblPrEx>
        <w:trPr>
          <w:cantSplit/>
          <w:trHeight w:val="560"/>
        </w:trPr>
        <w:tc>
          <w:tcPr>
            <w:tcW w:w="700" w:type="dxa"/>
            <w:tcMar>
              <w:top w:w="0" w:type="dxa"/>
              <w:bottom w:w="0" w:type="dxa"/>
            </w:tcMar>
            <w:vAlign w:val="center"/>
          </w:tcPr>
          <w:p w14:paraId="1FFD5D12" w14:textId="77777777" w:rsidR="001B250D" w:rsidRDefault="00000000">
            <w:pPr>
              <w:keepNext/>
              <w:keepLines/>
              <w:spacing w:after="0" w:line="240" w:lineRule="auto"/>
            </w:pPr>
            <w:r>
              <w:rPr>
                <w:sz w:val="18"/>
              </w:rPr>
              <w:t>4214</w:t>
            </w:r>
          </w:p>
        </w:tc>
        <w:tc>
          <w:tcPr>
            <w:tcW w:w="3180" w:type="dxa"/>
            <w:tcMar>
              <w:top w:w="0" w:type="dxa"/>
              <w:bottom w:w="0" w:type="dxa"/>
            </w:tcMar>
            <w:vAlign w:val="center"/>
          </w:tcPr>
          <w:p w14:paraId="55E82EF0" w14:textId="77777777" w:rsidR="001B250D"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475D9E41" w14:textId="77777777" w:rsidR="001B250D" w:rsidRDefault="00000000">
            <w:pPr>
              <w:keepNext/>
              <w:keepLines/>
              <w:spacing w:after="0" w:line="240" w:lineRule="auto"/>
            </w:pPr>
            <w:r>
              <w:rPr>
                <w:sz w:val="18"/>
              </w:rPr>
              <w:t>4214</w:t>
            </w:r>
          </w:p>
        </w:tc>
        <w:tc>
          <w:tcPr>
            <w:tcW w:w="1860" w:type="dxa"/>
            <w:tcMar>
              <w:top w:w="0" w:type="dxa"/>
              <w:bottom w:w="0" w:type="dxa"/>
            </w:tcMar>
            <w:vAlign w:val="center"/>
          </w:tcPr>
          <w:p w14:paraId="6D8D011F" w14:textId="77777777" w:rsidR="001B250D" w:rsidRDefault="00000000">
            <w:pPr>
              <w:keepNext/>
              <w:keepLines/>
              <w:spacing w:after="0" w:line="240" w:lineRule="auto"/>
              <w:jc w:val="right"/>
            </w:pPr>
            <w:r>
              <w:rPr>
                <w:sz w:val="18"/>
              </w:rPr>
              <w:t>1.453.131,98</w:t>
            </w:r>
          </w:p>
        </w:tc>
        <w:tc>
          <w:tcPr>
            <w:tcW w:w="1860" w:type="dxa"/>
            <w:tcMar>
              <w:top w:w="0" w:type="dxa"/>
              <w:bottom w:w="0" w:type="dxa"/>
            </w:tcMar>
            <w:vAlign w:val="center"/>
          </w:tcPr>
          <w:p w14:paraId="5570F679" w14:textId="77777777" w:rsidR="001B250D" w:rsidRDefault="00000000">
            <w:pPr>
              <w:keepNext/>
              <w:keepLines/>
              <w:spacing w:after="0" w:line="240" w:lineRule="auto"/>
              <w:jc w:val="right"/>
            </w:pPr>
            <w:r>
              <w:rPr>
                <w:sz w:val="18"/>
              </w:rPr>
              <w:t>2.023.764,80</w:t>
            </w:r>
          </w:p>
        </w:tc>
        <w:tc>
          <w:tcPr>
            <w:tcW w:w="700" w:type="dxa"/>
            <w:tcMar>
              <w:top w:w="0" w:type="dxa"/>
              <w:bottom w:w="0" w:type="dxa"/>
            </w:tcMar>
            <w:vAlign w:val="center"/>
          </w:tcPr>
          <w:p w14:paraId="69AC75AB" w14:textId="77777777" w:rsidR="001B250D" w:rsidRDefault="00000000">
            <w:pPr>
              <w:keepNext/>
              <w:keepLines/>
              <w:spacing w:after="0" w:line="240" w:lineRule="auto"/>
              <w:jc w:val="right"/>
            </w:pPr>
            <w:r>
              <w:rPr>
                <w:sz w:val="18"/>
              </w:rPr>
              <w:t>139,3</w:t>
            </w:r>
          </w:p>
        </w:tc>
      </w:tr>
    </w:tbl>
    <w:p w14:paraId="45F8895F" w14:textId="77777777" w:rsidR="001B250D" w:rsidRDefault="001B250D">
      <w:pPr>
        <w:spacing w:after="0"/>
      </w:pPr>
    </w:p>
    <w:p w14:paraId="6ABAE803" w14:textId="77777777" w:rsidR="001B250D" w:rsidRDefault="00000000">
      <w:r>
        <w:t>Na ovim se rashodima bilježi povećanje od 39,3% odnosu na prethodnu godinu a najvećim dijelom se odnose na izgradnju i uređenje dječjeg igrališta Pobri (118.151 eura) te sportskog dječjeg igrališta Veprinac (444.980 eura) , izgradnju parkirališta iznad groblja Opatija (478.643 eura), dogradnju parkinga uz Dom zdravlja Opatija (687.940 eura) i uređenje dječjeg igrališta Ičići (52.577 eura).</w:t>
      </w:r>
    </w:p>
    <w:p w14:paraId="1F63A783" w14:textId="77777777" w:rsidR="001B250D" w:rsidRDefault="001B250D"/>
    <w:p w14:paraId="4D1E200F" w14:textId="77777777" w:rsidR="001B250D"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6410DB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C0C6A1"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90C689"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1D4A84"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06E23"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4E19CA"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05BDB" w14:textId="77777777" w:rsidR="001B250D" w:rsidRDefault="00000000">
            <w:pPr>
              <w:keepNext/>
              <w:keepLines/>
              <w:spacing w:after="0" w:line="240" w:lineRule="auto"/>
              <w:jc w:val="center"/>
            </w:pPr>
            <w:r>
              <w:rPr>
                <w:b/>
                <w:sz w:val="18"/>
              </w:rPr>
              <w:t>Indeks (%)</w:t>
            </w:r>
          </w:p>
        </w:tc>
      </w:tr>
      <w:tr w:rsidR="001B250D" w14:paraId="0226D227" w14:textId="77777777">
        <w:tblPrEx>
          <w:tblCellMar>
            <w:top w:w="0" w:type="dxa"/>
            <w:bottom w:w="0" w:type="dxa"/>
          </w:tblCellMar>
        </w:tblPrEx>
        <w:trPr>
          <w:cantSplit/>
          <w:trHeight w:val="560"/>
        </w:trPr>
        <w:tc>
          <w:tcPr>
            <w:tcW w:w="700" w:type="dxa"/>
            <w:tcMar>
              <w:top w:w="0" w:type="dxa"/>
              <w:bottom w:w="0" w:type="dxa"/>
            </w:tcMar>
            <w:vAlign w:val="center"/>
          </w:tcPr>
          <w:p w14:paraId="75D372DC" w14:textId="77777777" w:rsidR="001B250D" w:rsidRDefault="00000000">
            <w:pPr>
              <w:keepNext/>
              <w:keepLines/>
              <w:spacing w:after="0" w:line="240" w:lineRule="auto"/>
            </w:pPr>
            <w:r>
              <w:rPr>
                <w:sz w:val="18"/>
              </w:rPr>
              <w:t>422</w:t>
            </w:r>
          </w:p>
        </w:tc>
        <w:tc>
          <w:tcPr>
            <w:tcW w:w="3180" w:type="dxa"/>
            <w:tcMar>
              <w:top w:w="0" w:type="dxa"/>
              <w:bottom w:w="0" w:type="dxa"/>
            </w:tcMar>
            <w:vAlign w:val="center"/>
          </w:tcPr>
          <w:p w14:paraId="4BEA63D9" w14:textId="77777777" w:rsidR="001B250D"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7A055478" w14:textId="77777777" w:rsidR="001B250D" w:rsidRDefault="00000000">
            <w:pPr>
              <w:keepNext/>
              <w:keepLines/>
              <w:spacing w:after="0" w:line="240" w:lineRule="auto"/>
            </w:pPr>
            <w:r>
              <w:rPr>
                <w:sz w:val="18"/>
              </w:rPr>
              <w:t>422</w:t>
            </w:r>
          </w:p>
        </w:tc>
        <w:tc>
          <w:tcPr>
            <w:tcW w:w="1860" w:type="dxa"/>
            <w:tcMar>
              <w:top w:w="0" w:type="dxa"/>
              <w:bottom w:w="0" w:type="dxa"/>
            </w:tcMar>
            <w:vAlign w:val="center"/>
          </w:tcPr>
          <w:p w14:paraId="39867B3A" w14:textId="77777777" w:rsidR="001B250D" w:rsidRDefault="00000000">
            <w:pPr>
              <w:keepNext/>
              <w:keepLines/>
              <w:spacing w:after="0" w:line="240" w:lineRule="auto"/>
              <w:jc w:val="right"/>
            </w:pPr>
            <w:r>
              <w:rPr>
                <w:sz w:val="18"/>
              </w:rPr>
              <w:t>435.458,50</w:t>
            </w:r>
          </w:p>
        </w:tc>
        <w:tc>
          <w:tcPr>
            <w:tcW w:w="1860" w:type="dxa"/>
            <w:tcMar>
              <w:top w:w="0" w:type="dxa"/>
              <w:bottom w:w="0" w:type="dxa"/>
            </w:tcMar>
            <w:vAlign w:val="center"/>
          </w:tcPr>
          <w:p w14:paraId="77322ED1" w14:textId="77777777" w:rsidR="001B250D" w:rsidRDefault="00000000">
            <w:pPr>
              <w:keepNext/>
              <w:keepLines/>
              <w:spacing w:after="0" w:line="240" w:lineRule="auto"/>
              <w:jc w:val="right"/>
            </w:pPr>
            <w:r>
              <w:rPr>
                <w:sz w:val="18"/>
              </w:rPr>
              <w:t>321.207,71</w:t>
            </w:r>
          </w:p>
        </w:tc>
        <w:tc>
          <w:tcPr>
            <w:tcW w:w="700" w:type="dxa"/>
            <w:tcMar>
              <w:top w:w="0" w:type="dxa"/>
              <w:bottom w:w="0" w:type="dxa"/>
            </w:tcMar>
            <w:vAlign w:val="center"/>
          </w:tcPr>
          <w:p w14:paraId="5B3B0475" w14:textId="77777777" w:rsidR="001B250D" w:rsidRDefault="00000000">
            <w:pPr>
              <w:keepNext/>
              <w:keepLines/>
              <w:spacing w:after="0" w:line="240" w:lineRule="auto"/>
              <w:jc w:val="right"/>
            </w:pPr>
            <w:r>
              <w:rPr>
                <w:sz w:val="18"/>
              </w:rPr>
              <w:t>73,8</w:t>
            </w:r>
          </w:p>
        </w:tc>
      </w:tr>
    </w:tbl>
    <w:p w14:paraId="2658C6E2" w14:textId="77777777" w:rsidR="001B250D" w:rsidRDefault="001B250D">
      <w:pPr>
        <w:spacing w:after="0"/>
      </w:pPr>
    </w:p>
    <w:p w14:paraId="36D2A618" w14:textId="77777777" w:rsidR="001B250D" w:rsidRDefault="00000000">
      <w:r>
        <w:t>Pad od 26,2% nastao je zbog manje utrošenih sredstava za nabavu računalne opreme i namještaja te ostale opreme.</w:t>
      </w:r>
    </w:p>
    <w:p w14:paraId="4A3AB6F7" w14:textId="77777777" w:rsidR="001B250D" w:rsidRDefault="001B250D"/>
    <w:p w14:paraId="498A102D" w14:textId="77777777" w:rsidR="001B250D"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4706F0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9B5E25"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779C70"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95D36"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9C971"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F1D250"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1E0DDF" w14:textId="77777777" w:rsidR="001B250D" w:rsidRDefault="00000000">
            <w:pPr>
              <w:keepNext/>
              <w:keepLines/>
              <w:spacing w:after="0" w:line="240" w:lineRule="auto"/>
              <w:jc w:val="center"/>
            </w:pPr>
            <w:r>
              <w:rPr>
                <w:b/>
                <w:sz w:val="18"/>
              </w:rPr>
              <w:t>Indeks (%)</w:t>
            </w:r>
          </w:p>
        </w:tc>
      </w:tr>
      <w:tr w:rsidR="001B250D" w14:paraId="3E250BCB" w14:textId="77777777">
        <w:tblPrEx>
          <w:tblCellMar>
            <w:top w:w="0" w:type="dxa"/>
            <w:bottom w:w="0" w:type="dxa"/>
          </w:tblCellMar>
        </w:tblPrEx>
        <w:trPr>
          <w:cantSplit/>
          <w:trHeight w:val="560"/>
        </w:trPr>
        <w:tc>
          <w:tcPr>
            <w:tcW w:w="700" w:type="dxa"/>
            <w:tcMar>
              <w:top w:w="0" w:type="dxa"/>
              <w:bottom w:w="0" w:type="dxa"/>
            </w:tcMar>
            <w:vAlign w:val="center"/>
          </w:tcPr>
          <w:p w14:paraId="7042DD04" w14:textId="77777777" w:rsidR="001B250D" w:rsidRDefault="00000000">
            <w:pPr>
              <w:keepNext/>
              <w:keepLines/>
              <w:spacing w:after="0" w:line="240" w:lineRule="auto"/>
            </w:pPr>
            <w:r>
              <w:rPr>
                <w:sz w:val="18"/>
              </w:rPr>
              <w:t>423</w:t>
            </w:r>
          </w:p>
        </w:tc>
        <w:tc>
          <w:tcPr>
            <w:tcW w:w="3180" w:type="dxa"/>
            <w:tcMar>
              <w:top w:w="0" w:type="dxa"/>
              <w:bottom w:w="0" w:type="dxa"/>
            </w:tcMar>
            <w:vAlign w:val="center"/>
          </w:tcPr>
          <w:p w14:paraId="5025C49C" w14:textId="77777777" w:rsidR="001B250D" w:rsidRDefault="00000000">
            <w:pPr>
              <w:keepNext/>
              <w:keepLines/>
              <w:spacing w:after="0" w:line="240" w:lineRule="auto"/>
            </w:pPr>
            <w:r>
              <w:rPr>
                <w:sz w:val="18"/>
              </w:rPr>
              <w:t>Prijevozna sredstva (šifre 4231 do 4234)</w:t>
            </w:r>
          </w:p>
        </w:tc>
        <w:tc>
          <w:tcPr>
            <w:tcW w:w="700" w:type="dxa"/>
            <w:tcMar>
              <w:top w:w="0" w:type="dxa"/>
              <w:bottom w:w="0" w:type="dxa"/>
            </w:tcMar>
            <w:vAlign w:val="center"/>
          </w:tcPr>
          <w:p w14:paraId="53F46CB6" w14:textId="77777777" w:rsidR="001B250D" w:rsidRDefault="00000000">
            <w:pPr>
              <w:keepNext/>
              <w:keepLines/>
              <w:spacing w:after="0" w:line="240" w:lineRule="auto"/>
            </w:pPr>
            <w:r>
              <w:rPr>
                <w:sz w:val="18"/>
              </w:rPr>
              <w:t>423</w:t>
            </w:r>
          </w:p>
        </w:tc>
        <w:tc>
          <w:tcPr>
            <w:tcW w:w="1860" w:type="dxa"/>
            <w:tcMar>
              <w:top w:w="0" w:type="dxa"/>
              <w:bottom w:w="0" w:type="dxa"/>
            </w:tcMar>
            <w:vAlign w:val="center"/>
          </w:tcPr>
          <w:p w14:paraId="62FB6C5D"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62791B5A" w14:textId="77777777" w:rsidR="001B250D" w:rsidRDefault="00000000">
            <w:pPr>
              <w:keepNext/>
              <w:keepLines/>
              <w:spacing w:after="0" w:line="240" w:lineRule="auto"/>
              <w:jc w:val="right"/>
            </w:pPr>
            <w:r>
              <w:rPr>
                <w:sz w:val="18"/>
              </w:rPr>
              <w:t>16.530,00</w:t>
            </w:r>
          </w:p>
        </w:tc>
        <w:tc>
          <w:tcPr>
            <w:tcW w:w="700" w:type="dxa"/>
            <w:tcMar>
              <w:top w:w="0" w:type="dxa"/>
              <w:bottom w:w="0" w:type="dxa"/>
            </w:tcMar>
            <w:vAlign w:val="center"/>
          </w:tcPr>
          <w:p w14:paraId="5B1B374A" w14:textId="77777777" w:rsidR="001B250D" w:rsidRDefault="00000000">
            <w:pPr>
              <w:keepNext/>
              <w:keepLines/>
              <w:spacing w:after="0" w:line="240" w:lineRule="auto"/>
              <w:jc w:val="right"/>
            </w:pPr>
            <w:r>
              <w:rPr>
                <w:sz w:val="18"/>
              </w:rPr>
              <w:t>-</w:t>
            </w:r>
          </w:p>
        </w:tc>
      </w:tr>
    </w:tbl>
    <w:p w14:paraId="2E423287" w14:textId="77777777" w:rsidR="001B250D" w:rsidRDefault="001B250D">
      <w:pPr>
        <w:spacing w:after="0"/>
      </w:pPr>
    </w:p>
    <w:p w14:paraId="3C993F55" w14:textId="77777777" w:rsidR="001B250D" w:rsidRDefault="00000000">
      <w:r>
        <w:t>Realizirana je nabava jednog vozila za potrebe Grada (komunalnog redarstva).</w:t>
      </w:r>
    </w:p>
    <w:p w14:paraId="5E1F74FF" w14:textId="77777777" w:rsidR="001B250D" w:rsidRDefault="001B250D"/>
    <w:p w14:paraId="77D841A9" w14:textId="77777777" w:rsidR="001B250D"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97189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BE73B"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C29F91"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70756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552107"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E0C1E5"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7B1215" w14:textId="77777777" w:rsidR="001B250D" w:rsidRDefault="00000000">
            <w:pPr>
              <w:keepNext/>
              <w:keepLines/>
              <w:spacing w:after="0" w:line="240" w:lineRule="auto"/>
              <w:jc w:val="center"/>
            </w:pPr>
            <w:r>
              <w:rPr>
                <w:b/>
                <w:sz w:val="18"/>
              </w:rPr>
              <w:t>Indeks (%)</w:t>
            </w:r>
          </w:p>
        </w:tc>
      </w:tr>
      <w:tr w:rsidR="001B250D" w14:paraId="0EDB8306" w14:textId="77777777">
        <w:tblPrEx>
          <w:tblCellMar>
            <w:top w:w="0" w:type="dxa"/>
            <w:bottom w:w="0" w:type="dxa"/>
          </w:tblCellMar>
        </w:tblPrEx>
        <w:trPr>
          <w:cantSplit/>
          <w:trHeight w:val="560"/>
        </w:trPr>
        <w:tc>
          <w:tcPr>
            <w:tcW w:w="700" w:type="dxa"/>
            <w:tcMar>
              <w:top w:w="0" w:type="dxa"/>
              <w:bottom w:w="0" w:type="dxa"/>
            </w:tcMar>
            <w:vAlign w:val="center"/>
          </w:tcPr>
          <w:p w14:paraId="73BC31E0" w14:textId="77777777" w:rsidR="001B250D" w:rsidRDefault="00000000">
            <w:pPr>
              <w:keepNext/>
              <w:keepLines/>
              <w:spacing w:after="0" w:line="240" w:lineRule="auto"/>
            </w:pPr>
            <w:r>
              <w:rPr>
                <w:sz w:val="18"/>
              </w:rPr>
              <w:t>4251</w:t>
            </w:r>
          </w:p>
        </w:tc>
        <w:tc>
          <w:tcPr>
            <w:tcW w:w="3180" w:type="dxa"/>
            <w:tcMar>
              <w:top w:w="0" w:type="dxa"/>
              <w:bottom w:w="0" w:type="dxa"/>
            </w:tcMar>
            <w:vAlign w:val="center"/>
          </w:tcPr>
          <w:p w14:paraId="15D251C4" w14:textId="77777777" w:rsidR="001B250D" w:rsidRDefault="00000000">
            <w:pPr>
              <w:keepNext/>
              <w:keepLines/>
              <w:spacing w:after="0" w:line="240" w:lineRule="auto"/>
            </w:pPr>
            <w:r>
              <w:rPr>
                <w:sz w:val="18"/>
              </w:rPr>
              <w:t>Višegodišnji nasadi</w:t>
            </w:r>
          </w:p>
        </w:tc>
        <w:tc>
          <w:tcPr>
            <w:tcW w:w="700" w:type="dxa"/>
            <w:tcMar>
              <w:top w:w="0" w:type="dxa"/>
              <w:bottom w:w="0" w:type="dxa"/>
            </w:tcMar>
            <w:vAlign w:val="center"/>
          </w:tcPr>
          <w:p w14:paraId="40979B8D" w14:textId="77777777" w:rsidR="001B250D" w:rsidRDefault="00000000">
            <w:pPr>
              <w:keepNext/>
              <w:keepLines/>
              <w:spacing w:after="0" w:line="240" w:lineRule="auto"/>
            </w:pPr>
            <w:r>
              <w:rPr>
                <w:sz w:val="18"/>
              </w:rPr>
              <w:t>4251</w:t>
            </w:r>
          </w:p>
        </w:tc>
        <w:tc>
          <w:tcPr>
            <w:tcW w:w="1860" w:type="dxa"/>
            <w:tcMar>
              <w:top w:w="0" w:type="dxa"/>
              <w:bottom w:w="0" w:type="dxa"/>
            </w:tcMar>
            <w:vAlign w:val="center"/>
          </w:tcPr>
          <w:p w14:paraId="133757C7" w14:textId="77777777" w:rsidR="001B250D" w:rsidRDefault="00000000">
            <w:pPr>
              <w:keepNext/>
              <w:keepLines/>
              <w:spacing w:after="0" w:line="240" w:lineRule="auto"/>
              <w:jc w:val="right"/>
            </w:pPr>
            <w:r>
              <w:rPr>
                <w:sz w:val="18"/>
              </w:rPr>
              <w:t>27.302,06</w:t>
            </w:r>
          </w:p>
        </w:tc>
        <w:tc>
          <w:tcPr>
            <w:tcW w:w="1860" w:type="dxa"/>
            <w:tcMar>
              <w:top w:w="0" w:type="dxa"/>
              <w:bottom w:w="0" w:type="dxa"/>
            </w:tcMar>
            <w:vAlign w:val="center"/>
          </w:tcPr>
          <w:p w14:paraId="4D2F21D1" w14:textId="77777777" w:rsidR="001B250D" w:rsidRDefault="00000000">
            <w:pPr>
              <w:keepNext/>
              <w:keepLines/>
              <w:spacing w:after="0" w:line="240" w:lineRule="auto"/>
              <w:jc w:val="right"/>
            </w:pPr>
            <w:r>
              <w:rPr>
                <w:sz w:val="18"/>
              </w:rPr>
              <w:t>80.900,42</w:t>
            </w:r>
          </w:p>
        </w:tc>
        <w:tc>
          <w:tcPr>
            <w:tcW w:w="700" w:type="dxa"/>
            <w:tcMar>
              <w:top w:w="0" w:type="dxa"/>
              <w:bottom w:w="0" w:type="dxa"/>
            </w:tcMar>
            <w:vAlign w:val="center"/>
          </w:tcPr>
          <w:p w14:paraId="2431356E" w14:textId="77777777" w:rsidR="001B250D" w:rsidRDefault="00000000">
            <w:pPr>
              <w:keepNext/>
              <w:keepLines/>
              <w:spacing w:after="0" w:line="240" w:lineRule="auto"/>
              <w:jc w:val="right"/>
            </w:pPr>
            <w:r>
              <w:rPr>
                <w:sz w:val="18"/>
              </w:rPr>
              <w:t>296,3</w:t>
            </w:r>
          </w:p>
        </w:tc>
      </w:tr>
    </w:tbl>
    <w:p w14:paraId="163E2A4A" w14:textId="77777777" w:rsidR="001B250D" w:rsidRDefault="001B250D">
      <w:pPr>
        <w:spacing w:after="0"/>
      </w:pPr>
    </w:p>
    <w:p w14:paraId="69E919B2" w14:textId="77777777" w:rsidR="001B250D" w:rsidRDefault="00000000">
      <w:r>
        <w:t>Višegodišnji nasadi –odnosi se na ulaganja u trajne nasade gradskih parkova, a rast troškova ovisi o vrsti i vrijednosti nasada.</w:t>
      </w:r>
    </w:p>
    <w:p w14:paraId="2E8BA013" w14:textId="77777777" w:rsidR="001B250D" w:rsidRDefault="001B250D"/>
    <w:p w14:paraId="3D88CDA6" w14:textId="77777777" w:rsidR="001B250D"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C082A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461D7D"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E6297D"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D27B86"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D998BA"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C4D145"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9CF24D" w14:textId="77777777" w:rsidR="001B250D" w:rsidRDefault="00000000">
            <w:pPr>
              <w:keepNext/>
              <w:keepLines/>
              <w:spacing w:after="0" w:line="240" w:lineRule="auto"/>
              <w:jc w:val="center"/>
            </w:pPr>
            <w:r>
              <w:rPr>
                <w:b/>
                <w:sz w:val="18"/>
              </w:rPr>
              <w:t>Indeks (%)</w:t>
            </w:r>
          </w:p>
        </w:tc>
      </w:tr>
      <w:tr w:rsidR="001B250D" w14:paraId="54678011" w14:textId="77777777">
        <w:tblPrEx>
          <w:tblCellMar>
            <w:top w:w="0" w:type="dxa"/>
            <w:bottom w:w="0" w:type="dxa"/>
          </w:tblCellMar>
        </w:tblPrEx>
        <w:trPr>
          <w:cantSplit/>
          <w:trHeight w:val="560"/>
        </w:trPr>
        <w:tc>
          <w:tcPr>
            <w:tcW w:w="700" w:type="dxa"/>
            <w:tcMar>
              <w:top w:w="0" w:type="dxa"/>
              <w:bottom w:w="0" w:type="dxa"/>
            </w:tcMar>
            <w:vAlign w:val="center"/>
          </w:tcPr>
          <w:p w14:paraId="604893AA" w14:textId="77777777" w:rsidR="001B250D" w:rsidRDefault="00000000">
            <w:pPr>
              <w:keepNext/>
              <w:keepLines/>
              <w:spacing w:after="0" w:line="240" w:lineRule="auto"/>
            </w:pPr>
            <w:r>
              <w:rPr>
                <w:sz w:val="18"/>
              </w:rPr>
              <w:t>45</w:t>
            </w:r>
          </w:p>
        </w:tc>
        <w:tc>
          <w:tcPr>
            <w:tcW w:w="3180" w:type="dxa"/>
            <w:tcMar>
              <w:top w:w="0" w:type="dxa"/>
              <w:bottom w:w="0" w:type="dxa"/>
            </w:tcMar>
            <w:vAlign w:val="center"/>
          </w:tcPr>
          <w:p w14:paraId="5B55BB32" w14:textId="77777777" w:rsidR="001B250D"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02FB5039" w14:textId="77777777" w:rsidR="001B250D" w:rsidRDefault="00000000">
            <w:pPr>
              <w:keepNext/>
              <w:keepLines/>
              <w:spacing w:after="0" w:line="240" w:lineRule="auto"/>
            </w:pPr>
            <w:r>
              <w:rPr>
                <w:sz w:val="18"/>
              </w:rPr>
              <w:t>45</w:t>
            </w:r>
          </w:p>
        </w:tc>
        <w:tc>
          <w:tcPr>
            <w:tcW w:w="1860" w:type="dxa"/>
            <w:tcMar>
              <w:top w:w="0" w:type="dxa"/>
              <w:bottom w:w="0" w:type="dxa"/>
            </w:tcMar>
            <w:vAlign w:val="center"/>
          </w:tcPr>
          <w:p w14:paraId="7E415320" w14:textId="77777777" w:rsidR="001B250D" w:rsidRDefault="00000000">
            <w:pPr>
              <w:keepNext/>
              <w:keepLines/>
              <w:spacing w:after="0" w:line="240" w:lineRule="auto"/>
              <w:jc w:val="right"/>
            </w:pPr>
            <w:r>
              <w:rPr>
                <w:sz w:val="18"/>
              </w:rPr>
              <w:t>923.866,65</w:t>
            </w:r>
          </w:p>
        </w:tc>
        <w:tc>
          <w:tcPr>
            <w:tcW w:w="1860" w:type="dxa"/>
            <w:tcMar>
              <w:top w:w="0" w:type="dxa"/>
              <w:bottom w:w="0" w:type="dxa"/>
            </w:tcMar>
            <w:vAlign w:val="center"/>
          </w:tcPr>
          <w:p w14:paraId="2B1EEA37" w14:textId="77777777" w:rsidR="001B250D" w:rsidRDefault="00000000">
            <w:pPr>
              <w:keepNext/>
              <w:keepLines/>
              <w:spacing w:after="0" w:line="240" w:lineRule="auto"/>
              <w:jc w:val="right"/>
            </w:pPr>
            <w:r>
              <w:rPr>
                <w:sz w:val="18"/>
              </w:rPr>
              <w:t>106.044,01</w:t>
            </w:r>
          </w:p>
        </w:tc>
        <w:tc>
          <w:tcPr>
            <w:tcW w:w="700" w:type="dxa"/>
            <w:tcMar>
              <w:top w:w="0" w:type="dxa"/>
              <w:bottom w:w="0" w:type="dxa"/>
            </w:tcMar>
            <w:vAlign w:val="center"/>
          </w:tcPr>
          <w:p w14:paraId="5C0C06A3" w14:textId="77777777" w:rsidR="001B250D" w:rsidRDefault="00000000">
            <w:pPr>
              <w:keepNext/>
              <w:keepLines/>
              <w:spacing w:after="0" w:line="240" w:lineRule="auto"/>
              <w:jc w:val="right"/>
            </w:pPr>
            <w:r>
              <w:rPr>
                <w:sz w:val="18"/>
              </w:rPr>
              <w:t>11,5</w:t>
            </w:r>
          </w:p>
        </w:tc>
      </w:tr>
    </w:tbl>
    <w:p w14:paraId="21A8F8C0" w14:textId="77777777" w:rsidR="001B250D" w:rsidRDefault="001B250D">
      <w:pPr>
        <w:spacing w:after="0"/>
      </w:pPr>
    </w:p>
    <w:p w14:paraId="6A5B98CB" w14:textId="77777777" w:rsidR="001B250D" w:rsidRDefault="00000000">
      <w:r>
        <w:t xml:space="preserve">Izdaci za Dodatna ulaganja na građevinskim objektima  značajno su smanjeni u odnosu na prethodnu godinu, a odnose se uglavnom na ulaganje u OŠ Ičići (23.995,72 eura) uređenje boćališta u </w:t>
      </w:r>
      <w:proofErr w:type="spellStart"/>
      <w:r>
        <w:t>Pobrima</w:t>
      </w:r>
      <w:proofErr w:type="spellEnd"/>
      <w:r>
        <w:t xml:space="preserve"> (48.760,17 eura) te uređenje dječjeg vrtića Poljane (33.288,12 eura).</w:t>
      </w:r>
    </w:p>
    <w:p w14:paraId="570182AE" w14:textId="77777777" w:rsidR="001B250D" w:rsidRDefault="001B250D"/>
    <w:p w14:paraId="6FFF2C5E" w14:textId="77777777" w:rsidR="001B250D"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C2A9C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60637"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392D65"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8F4520"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5B9067"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BF8699"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9B8ADA" w14:textId="77777777" w:rsidR="001B250D" w:rsidRDefault="00000000">
            <w:pPr>
              <w:keepNext/>
              <w:keepLines/>
              <w:spacing w:after="0" w:line="240" w:lineRule="auto"/>
              <w:jc w:val="center"/>
            </w:pPr>
            <w:r>
              <w:rPr>
                <w:b/>
                <w:sz w:val="18"/>
              </w:rPr>
              <w:t>Indeks (%)</w:t>
            </w:r>
          </w:p>
        </w:tc>
      </w:tr>
      <w:tr w:rsidR="001B250D" w14:paraId="507CC4BA" w14:textId="77777777">
        <w:tblPrEx>
          <w:tblCellMar>
            <w:top w:w="0" w:type="dxa"/>
            <w:bottom w:w="0" w:type="dxa"/>
          </w:tblCellMar>
        </w:tblPrEx>
        <w:trPr>
          <w:cantSplit/>
          <w:trHeight w:val="560"/>
        </w:trPr>
        <w:tc>
          <w:tcPr>
            <w:tcW w:w="700" w:type="dxa"/>
            <w:tcMar>
              <w:top w:w="0" w:type="dxa"/>
              <w:bottom w:w="0" w:type="dxa"/>
            </w:tcMar>
            <w:vAlign w:val="center"/>
          </w:tcPr>
          <w:p w14:paraId="09D2C767" w14:textId="77777777" w:rsidR="001B250D" w:rsidRDefault="00000000">
            <w:pPr>
              <w:keepNext/>
              <w:keepLines/>
              <w:spacing w:after="0" w:line="240" w:lineRule="auto"/>
            </w:pPr>
            <w:r>
              <w:rPr>
                <w:sz w:val="18"/>
              </w:rPr>
              <w:t>5</w:t>
            </w:r>
          </w:p>
        </w:tc>
        <w:tc>
          <w:tcPr>
            <w:tcW w:w="3180" w:type="dxa"/>
            <w:tcMar>
              <w:top w:w="0" w:type="dxa"/>
              <w:bottom w:w="0" w:type="dxa"/>
            </w:tcMar>
            <w:vAlign w:val="center"/>
          </w:tcPr>
          <w:p w14:paraId="763880C6" w14:textId="77777777" w:rsidR="001B250D"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0B11B45" w14:textId="77777777" w:rsidR="001B250D" w:rsidRDefault="00000000">
            <w:pPr>
              <w:keepNext/>
              <w:keepLines/>
              <w:spacing w:after="0" w:line="240" w:lineRule="auto"/>
            </w:pPr>
            <w:r>
              <w:rPr>
                <w:sz w:val="18"/>
              </w:rPr>
              <w:t>5</w:t>
            </w:r>
          </w:p>
        </w:tc>
        <w:tc>
          <w:tcPr>
            <w:tcW w:w="1860" w:type="dxa"/>
            <w:tcMar>
              <w:top w:w="0" w:type="dxa"/>
              <w:bottom w:w="0" w:type="dxa"/>
            </w:tcMar>
            <w:vAlign w:val="center"/>
          </w:tcPr>
          <w:p w14:paraId="55702345" w14:textId="77777777" w:rsidR="001B250D" w:rsidRDefault="00000000">
            <w:pPr>
              <w:keepNext/>
              <w:keepLines/>
              <w:spacing w:after="0" w:line="240" w:lineRule="auto"/>
              <w:jc w:val="right"/>
            </w:pPr>
            <w:r>
              <w:rPr>
                <w:sz w:val="18"/>
              </w:rPr>
              <w:t>412.919,48</w:t>
            </w:r>
          </w:p>
        </w:tc>
        <w:tc>
          <w:tcPr>
            <w:tcW w:w="1860" w:type="dxa"/>
            <w:tcMar>
              <w:top w:w="0" w:type="dxa"/>
              <w:bottom w:w="0" w:type="dxa"/>
            </w:tcMar>
            <w:vAlign w:val="center"/>
          </w:tcPr>
          <w:p w14:paraId="4A05FBFC" w14:textId="77777777" w:rsidR="001B250D" w:rsidRDefault="00000000">
            <w:pPr>
              <w:keepNext/>
              <w:keepLines/>
              <w:spacing w:after="0" w:line="240" w:lineRule="auto"/>
              <w:jc w:val="right"/>
            </w:pPr>
            <w:r>
              <w:rPr>
                <w:sz w:val="18"/>
              </w:rPr>
              <w:t>465.583,08</w:t>
            </w:r>
          </w:p>
        </w:tc>
        <w:tc>
          <w:tcPr>
            <w:tcW w:w="700" w:type="dxa"/>
            <w:tcMar>
              <w:top w:w="0" w:type="dxa"/>
              <w:bottom w:w="0" w:type="dxa"/>
            </w:tcMar>
            <w:vAlign w:val="center"/>
          </w:tcPr>
          <w:p w14:paraId="62A0DE4B" w14:textId="77777777" w:rsidR="001B250D" w:rsidRDefault="00000000">
            <w:pPr>
              <w:keepNext/>
              <w:keepLines/>
              <w:spacing w:after="0" w:line="240" w:lineRule="auto"/>
              <w:jc w:val="right"/>
            </w:pPr>
            <w:r>
              <w:rPr>
                <w:sz w:val="18"/>
              </w:rPr>
              <w:t>112,8</w:t>
            </w:r>
          </w:p>
        </w:tc>
      </w:tr>
    </w:tbl>
    <w:p w14:paraId="5D93F979" w14:textId="77777777" w:rsidR="001B250D" w:rsidRDefault="001B250D">
      <w:pPr>
        <w:spacing w:after="0"/>
      </w:pPr>
    </w:p>
    <w:p w14:paraId="10D67200" w14:textId="77777777" w:rsidR="001B250D" w:rsidRDefault="00000000">
      <w:r>
        <w:t>Izdaci za financijsku imovinu i otplate zajmova (5) odnose se na otplatu glavnice dvaju primljenih kredita: kod Zagrebačke banke d.d. Zagreb za izgradnju KTC Gervais te kod HBOR-a za modernizaciju javne rasvjete. Kredit kod HBOR-a krenuo je u otplatu u 2025. godini zbog čega se bilježi povećanje na ovoj stavci za 12,8% u odnosu na prethodno izvještajno razdoblje.</w:t>
      </w:r>
    </w:p>
    <w:p w14:paraId="0DE011B7" w14:textId="77777777" w:rsidR="001B250D" w:rsidRDefault="001B250D"/>
    <w:p w14:paraId="6814574B" w14:textId="77777777" w:rsidR="001B250D"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387AFB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65D2D4"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5EF26"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46071"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B4AE82" w14:textId="77777777" w:rsidR="001B250D"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979AF4" w14:textId="77777777" w:rsidR="001B250D"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20416E" w14:textId="77777777" w:rsidR="001B250D" w:rsidRDefault="00000000">
            <w:pPr>
              <w:keepNext/>
              <w:keepLines/>
              <w:spacing w:after="0" w:line="240" w:lineRule="auto"/>
              <w:jc w:val="center"/>
            </w:pPr>
            <w:r>
              <w:rPr>
                <w:b/>
                <w:sz w:val="18"/>
              </w:rPr>
              <w:t>Indeks (%)</w:t>
            </w:r>
          </w:p>
        </w:tc>
      </w:tr>
      <w:tr w:rsidR="001B250D" w14:paraId="6FC8492B" w14:textId="77777777">
        <w:tblPrEx>
          <w:tblCellMar>
            <w:top w:w="0" w:type="dxa"/>
            <w:bottom w:w="0" w:type="dxa"/>
          </w:tblCellMar>
        </w:tblPrEx>
        <w:trPr>
          <w:cantSplit/>
          <w:trHeight w:val="560"/>
        </w:trPr>
        <w:tc>
          <w:tcPr>
            <w:tcW w:w="700" w:type="dxa"/>
            <w:tcMar>
              <w:top w:w="0" w:type="dxa"/>
              <w:bottom w:w="0" w:type="dxa"/>
            </w:tcMar>
            <w:vAlign w:val="center"/>
          </w:tcPr>
          <w:p w14:paraId="60FDA5EB" w14:textId="77777777" w:rsidR="001B250D" w:rsidRDefault="00000000">
            <w:pPr>
              <w:keepNext/>
              <w:keepLines/>
              <w:spacing w:after="0" w:line="240" w:lineRule="auto"/>
            </w:pPr>
            <w:r>
              <w:rPr>
                <w:sz w:val="18"/>
              </w:rPr>
              <w:t>11</w:t>
            </w:r>
          </w:p>
        </w:tc>
        <w:tc>
          <w:tcPr>
            <w:tcW w:w="3180" w:type="dxa"/>
            <w:tcMar>
              <w:top w:w="0" w:type="dxa"/>
              <w:bottom w:w="0" w:type="dxa"/>
            </w:tcMar>
            <w:vAlign w:val="center"/>
          </w:tcPr>
          <w:p w14:paraId="7DD308CD" w14:textId="77777777" w:rsidR="001B250D"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240597E9" w14:textId="77777777" w:rsidR="001B250D" w:rsidRDefault="00000000">
            <w:pPr>
              <w:keepNext/>
              <w:keepLines/>
              <w:spacing w:after="0" w:line="240" w:lineRule="auto"/>
            </w:pPr>
            <w:r>
              <w:rPr>
                <w:sz w:val="18"/>
              </w:rPr>
              <w:t>11K</w:t>
            </w:r>
          </w:p>
        </w:tc>
        <w:tc>
          <w:tcPr>
            <w:tcW w:w="1860" w:type="dxa"/>
            <w:tcMar>
              <w:top w:w="0" w:type="dxa"/>
              <w:bottom w:w="0" w:type="dxa"/>
            </w:tcMar>
            <w:vAlign w:val="center"/>
          </w:tcPr>
          <w:p w14:paraId="05A18DCE" w14:textId="77777777" w:rsidR="001B250D" w:rsidRDefault="00000000">
            <w:pPr>
              <w:keepNext/>
              <w:keepLines/>
              <w:spacing w:after="0" w:line="240" w:lineRule="auto"/>
              <w:jc w:val="right"/>
            </w:pPr>
            <w:r>
              <w:rPr>
                <w:sz w:val="18"/>
              </w:rPr>
              <w:t>8.842.745,92</w:t>
            </w:r>
          </w:p>
        </w:tc>
        <w:tc>
          <w:tcPr>
            <w:tcW w:w="1860" w:type="dxa"/>
            <w:tcMar>
              <w:top w:w="0" w:type="dxa"/>
              <w:bottom w:w="0" w:type="dxa"/>
            </w:tcMar>
            <w:vAlign w:val="center"/>
          </w:tcPr>
          <w:p w14:paraId="21C9C83E" w14:textId="77777777" w:rsidR="001B250D" w:rsidRDefault="00000000">
            <w:pPr>
              <w:keepNext/>
              <w:keepLines/>
              <w:spacing w:after="0" w:line="240" w:lineRule="auto"/>
              <w:jc w:val="right"/>
            </w:pPr>
            <w:r>
              <w:rPr>
                <w:sz w:val="18"/>
              </w:rPr>
              <w:t>6.336.022,81</w:t>
            </w:r>
          </w:p>
        </w:tc>
        <w:tc>
          <w:tcPr>
            <w:tcW w:w="700" w:type="dxa"/>
            <w:tcMar>
              <w:top w:w="0" w:type="dxa"/>
              <w:bottom w:w="0" w:type="dxa"/>
            </w:tcMar>
            <w:vAlign w:val="center"/>
          </w:tcPr>
          <w:p w14:paraId="5513B309" w14:textId="77777777" w:rsidR="001B250D" w:rsidRDefault="00000000">
            <w:pPr>
              <w:keepNext/>
              <w:keepLines/>
              <w:spacing w:after="0" w:line="240" w:lineRule="auto"/>
              <w:jc w:val="right"/>
            </w:pPr>
            <w:r>
              <w:rPr>
                <w:sz w:val="18"/>
              </w:rPr>
              <w:t>71,7</w:t>
            </w:r>
          </w:p>
        </w:tc>
      </w:tr>
    </w:tbl>
    <w:p w14:paraId="71ABDBD9" w14:textId="77777777" w:rsidR="001B250D" w:rsidRDefault="001B250D">
      <w:pPr>
        <w:spacing w:after="0"/>
      </w:pPr>
    </w:p>
    <w:p w14:paraId="691DFCF4" w14:textId="77777777" w:rsidR="001B250D" w:rsidRDefault="00000000">
      <w:r>
        <w:t>Stanje sredstava na transakcijskom računu znatno je niže zbog većeg broja plaćenih obveza prema dobavljačima u odnosu na prethodnu godinu.</w:t>
      </w:r>
    </w:p>
    <w:p w14:paraId="3E7E16D9" w14:textId="77777777" w:rsidR="001B250D" w:rsidRDefault="001B250D"/>
    <w:p w14:paraId="063F667E" w14:textId="77777777" w:rsidR="001B250D" w:rsidRDefault="00000000">
      <w:pPr>
        <w:keepNext/>
        <w:spacing w:line="240" w:lineRule="auto"/>
        <w:jc w:val="center"/>
      </w:pPr>
      <w:r>
        <w:rPr>
          <w:b/>
          <w:sz w:val="28"/>
        </w:rPr>
        <w:t>Bilanca</w:t>
      </w:r>
    </w:p>
    <w:p w14:paraId="494B9337" w14:textId="77777777" w:rsidR="001B250D"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C0B9B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5B7B98"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A17586"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6608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22CDA"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8F932A"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0DA8A5" w14:textId="77777777" w:rsidR="001B250D" w:rsidRDefault="00000000">
            <w:pPr>
              <w:keepNext/>
              <w:keepLines/>
              <w:spacing w:after="0" w:line="240" w:lineRule="auto"/>
              <w:jc w:val="center"/>
            </w:pPr>
            <w:r>
              <w:rPr>
                <w:b/>
                <w:sz w:val="18"/>
              </w:rPr>
              <w:t>Indeks (%)</w:t>
            </w:r>
          </w:p>
        </w:tc>
      </w:tr>
      <w:tr w:rsidR="001B250D" w14:paraId="2A0142E2" w14:textId="77777777">
        <w:tblPrEx>
          <w:tblCellMar>
            <w:top w:w="0" w:type="dxa"/>
            <w:bottom w:w="0" w:type="dxa"/>
          </w:tblCellMar>
        </w:tblPrEx>
        <w:trPr>
          <w:cantSplit/>
          <w:trHeight w:val="560"/>
        </w:trPr>
        <w:tc>
          <w:tcPr>
            <w:tcW w:w="700" w:type="dxa"/>
            <w:tcMar>
              <w:top w:w="0" w:type="dxa"/>
              <w:bottom w:w="0" w:type="dxa"/>
            </w:tcMar>
            <w:vAlign w:val="center"/>
          </w:tcPr>
          <w:p w14:paraId="445899D8" w14:textId="77777777" w:rsidR="001B250D" w:rsidRDefault="00000000">
            <w:pPr>
              <w:keepNext/>
              <w:keepLines/>
              <w:spacing w:after="0" w:line="240" w:lineRule="auto"/>
            </w:pPr>
            <w:r>
              <w:rPr>
                <w:sz w:val="18"/>
              </w:rPr>
              <w:t>021 i 02921</w:t>
            </w:r>
          </w:p>
        </w:tc>
        <w:tc>
          <w:tcPr>
            <w:tcW w:w="3180" w:type="dxa"/>
            <w:tcMar>
              <w:top w:w="0" w:type="dxa"/>
              <w:bottom w:w="0" w:type="dxa"/>
            </w:tcMar>
            <w:vAlign w:val="center"/>
          </w:tcPr>
          <w:p w14:paraId="1612DD58" w14:textId="77777777" w:rsidR="001B250D"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6CC245B1" w14:textId="77777777" w:rsidR="001B250D" w:rsidRDefault="00000000">
            <w:pPr>
              <w:keepNext/>
              <w:keepLines/>
              <w:spacing w:after="0" w:line="240" w:lineRule="auto"/>
            </w:pPr>
            <w:r>
              <w:rPr>
                <w:sz w:val="18"/>
              </w:rPr>
              <w:t>021 i 02921</w:t>
            </w:r>
          </w:p>
        </w:tc>
        <w:tc>
          <w:tcPr>
            <w:tcW w:w="1860" w:type="dxa"/>
            <w:tcMar>
              <w:top w:w="0" w:type="dxa"/>
              <w:bottom w:w="0" w:type="dxa"/>
            </w:tcMar>
            <w:vAlign w:val="center"/>
          </w:tcPr>
          <w:p w14:paraId="73F89780" w14:textId="77777777" w:rsidR="001B250D" w:rsidRDefault="00000000">
            <w:pPr>
              <w:keepNext/>
              <w:keepLines/>
              <w:spacing w:after="0" w:line="240" w:lineRule="auto"/>
              <w:jc w:val="right"/>
            </w:pPr>
            <w:r>
              <w:rPr>
                <w:sz w:val="18"/>
              </w:rPr>
              <w:t>62.879.318,61</w:t>
            </w:r>
          </w:p>
        </w:tc>
        <w:tc>
          <w:tcPr>
            <w:tcW w:w="1860" w:type="dxa"/>
            <w:tcMar>
              <w:top w:w="0" w:type="dxa"/>
              <w:bottom w:w="0" w:type="dxa"/>
            </w:tcMar>
            <w:vAlign w:val="center"/>
          </w:tcPr>
          <w:p w14:paraId="22D9019D" w14:textId="77777777" w:rsidR="001B250D" w:rsidRDefault="00000000">
            <w:pPr>
              <w:keepNext/>
              <w:keepLines/>
              <w:spacing w:after="0" w:line="240" w:lineRule="auto"/>
              <w:jc w:val="right"/>
            </w:pPr>
            <w:r>
              <w:rPr>
                <w:sz w:val="18"/>
              </w:rPr>
              <w:t>64.402.582,35</w:t>
            </w:r>
          </w:p>
        </w:tc>
        <w:tc>
          <w:tcPr>
            <w:tcW w:w="700" w:type="dxa"/>
            <w:tcMar>
              <w:top w:w="0" w:type="dxa"/>
              <w:bottom w:w="0" w:type="dxa"/>
            </w:tcMar>
            <w:vAlign w:val="center"/>
          </w:tcPr>
          <w:p w14:paraId="7A1F9E1A" w14:textId="77777777" w:rsidR="001B250D" w:rsidRDefault="00000000">
            <w:pPr>
              <w:keepNext/>
              <w:keepLines/>
              <w:spacing w:after="0" w:line="240" w:lineRule="auto"/>
              <w:jc w:val="right"/>
            </w:pPr>
            <w:r>
              <w:rPr>
                <w:sz w:val="18"/>
              </w:rPr>
              <w:t>102,4</w:t>
            </w:r>
          </w:p>
        </w:tc>
      </w:tr>
    </w:tbl>
    <w:p w14:paraId="0D6FA043" w14:textId="77777777" w:rsidR="001B250D" w:rsidRDefault="001B250D">
      <w:pPr>
        <w:spacing w:after="0"/>
      </w:pPr>
    </w:p>
    <w:p w14:paraId="0E63DABF" w14:textId="77777777" w:rsidR="001B250D" w:rsidRDefault="00000000">
      <w:r>
        <w:t xml:space="preserve">Realizacija kapitalnih projekata u Programu gradnje komunalne infrastrukture te u Programu kapitalnih ulaganja u imovinu  utjecala je na povećanje vrijednosti dugotrajne imovine. Vrijednosno najznačajnija ulaganja u imovinu Grada čine:  rekonstrukcija Ulice A. </w:t>
      </w:r>
      <w:proofErr w:type="spellStart"/>
      <w:r>
        <w:t>Dminaka</w:t>
      </w:r>
      <w:proofErr w:type="spellEnd"/>
      <w:r>
        <w:t xml:space="preserve">, ulica uz garažu </w:t>
      </w:r>
      <w:proofErr w:type="spellStart"/>
      <w:r>
        <w:t>Gorovo</w:t>
      </w:r>
      <w:proofErr w:type="spellEnd"/>
      <w:r>
        <w:t xml:space="preserve">, Ulice I. </w:t>
      </w:r>
      <w:proofErr w:type="spellStart"/>
      <w:r>
        <w:t>Poščića</w:t>
      </w:r>
      <w:proofErr w:type="spellEnd"/>
      <w:r>
        <w:t xml:space="preserve"> , izgradnja parkirališta iznad groblja Opatija i parkirališta uz Dom zdravlja, uređenje plaže </w:t>
      </w:r>
      <w:proofErr w:type="spellStart"/>
      <w:r>
        <w:t>Tomaševac</w:t>
      </w:r>
      <w:proofErr w:type="spellEnd"/>
      <w:r>
        <w:t xml:space="preserve">, uređenje dječjih igrališta Pobri, Veprinac i Ičići, rekonstrukcija javne rasvjete, uređenje parkova kroz ulaganja u višegodišnje nasade, obnova područne škole Ičići, uređenje centra Veprinac i boćališta Pobri, obnova dvorane u OŠ </w:t>
      </w:r>
      <w:proofErr w:type="spellStart"/>
      <w:r>
        <w:t>R.K.Jeretov</w:t>
      </w:r>
      <w:proofErr w:type="spellEnd"/>
      <w:r>
        <w:t>  i dr.</w:t>
      </w:r>
    </w:p>
    <w:p w14:paraId="27CB91E7" w14:textId="77777777" w:rsidR="001B250D" w:rsidRDefault="001B250D"/>
    <w:p w14:paraId="47A90D74" w14:textId="77777777" w:rsidR="001B250D"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301CFC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76005F"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F8FF33"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31454"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0FBB53"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922CB4"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C9CF28" w14:textId="77777777" w:rsidR="001B250D" w:rsidRDefault="00000000">
            <w:pPr>
              <w:keepNext/>
              <w:keepLines/>
              <w:spacing w:after="0" w:line="240" w:lineRule="auto"/>
              <w:jc w:val="center"/>
            </w:pPr>
            <w:r>
              <w:rPr>
                <w:b/>
                <w:sz w:val="18"/>
              </w:rPr>
              <w:t>Indeks (%)</w:t>
            </w:r>
          </w:p>
        </w:tc>
      </w:tr>
      <w:tr w:rsidR="001B250D" w14:paraId="6EF5FACE" w14:textId="77777777">
        <w:tblPrEx>
          <w:tblCellMar>
            <w:top w:w="0" w:type="dxa"/>
            <w:bottom w:w="0" w:type="dxa"/>
          </w:tblCellMar>
        </w:tblPrEx>
        <w:trPr>
          <w:cantSplit/>
          <w:trHeight w:val="560"/>
        </w:trPr>
        <w:tc>
          <w:tcPr>
            <w:tcW w:w="700" w:type="dxa"/>
            <w:tcMar>
              <w:top w:w="0" w:type="dxa"/>
              <w:bottom w:w="0" w:type="dxa"/>
            </w:tcMar>
            <w:vAlign w:val="center"/>
          </w:tcPr>
          <w:p w14:paraId="6305674E" w14:textId="77777777" w:rsidR="001B250D" w:rsidRDefault="00000000">
            <w:pPr>
              <w:keepNext/>
              <w:keepLines/>
              <w:spacing w:after="0" w:line="240" w:lineRule="auto"/>
            </w:pPr>
            <w:r>
              <w:rPr>
                <w:sz w:val="18"/>
              </w:rPr>
              <w:t>0213</w:t>
            </w:r>
          </w:p>
        </w:tc>
        <w:tc>
          <w:tcPr>
            <w:tcW w:w="3180" w:type="dxa"/>
            <w:tcMar>
              <w:top w:w="0" w:type="dxa"/>
              <w:bottom w:w="0" w:type="dxa"/>
            </w:tcMar>
            <w:vAlign w:val="center"/>
          </w:tcPr>
          <w:p w14:paraId="61590F8C" w14:textId="77777777" w:rsidR="001B250D"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30B66380" w14:textId="77777777" w:rsidR="001B250D" w:rsidRDefault="00000000">
            <w:pPr>
              <w:keepNext/>
              <w:keepLines/>
              <w:spacing w:after="0" w:line="240" w:lineRule="auto"/>
            </w:pPr>
            <w:r>
              <w:rPr>
                <w:sz w:val="18"/>
              </w:rPr>
              <w:t>0213</w:t>
            </w:r>
          </w:p>
        </w:tc>
        <w:tc>
          <w:tcPr>
            <w:tcW w:w="1860" w:type="dxa"/>
            <w:tcMar>
              <w:top w:w="0" w:type="dxa"/>
              <w:bottom w:w="0" w:type="dxa"/>
            </w:tcMar>
            <w:vAlign w:val="center"/>
          </w:tcPr>
          <w:p w14:paraId="6013DFB8" w14:textId="77777777" w:rsidR="001B250D" w:rsidRDefault="00000000">
            <w:pPr>
              <w:keepNext/>
              <w:keepLines/>
              <w:spacing w:after="0" w:line="240" w:lineRule="auto"/>
              <w:jc w:val="right"/>
            </w:pPr>
            <w:r>
              <w:rPr>
                <w:sz w:val="18"/>
              </w:rPr>
              <w:t>12.636.521,04</w:t>
            </w:r>
          </w:p>
        </w:tc>
        <w:tc>
          <w:tcPr>
            <w:tcW w:w="1860" w:type="dxa"/>
            <w:tcMar>
              <w:top w:w="0" w:type="dxa"/>
              <w:bottom w:w="0" w:type="dxa"/>
            </w:tcMar>
            <w:vAlign w:val="center"/>
          </w:tcPr>
          <w:p w14:paraId="757A74DA" w14:textId="77777777" w:rsidR="001B250D" w:rsidRDefault="00000000">
            <w:pPr>
              <w:keepNext/>
              <w:keepLines/>
              <w:spacing w:after="0" w:line="240" w:lineRule="auto"/>
              <w:jc w:val="right"/>
            </w:pPr>
            <w:r>
              <w:rPr>
                <w:sz w:val="18"/>
              </w:rPr>
              <w:t>14.485.844,92</w:t>
            </w:r>
          </w:p>
        </w:tc>
        <w:tc>
          <w:tcPr>
            <w:tcW w:w="700" w:type="dxa"/>
            <w:tcMar>
              <w:top w:w="0" w:type="dxa"/>
              <w:bottom w:w="0" w:type="dxa"/>
            </w:tcMar>
            <w:vAlign w:val="center"/>
          </w:tcPr>
          <w:p w14:paraId="75E1B552" w14:textId="77777777" w:rsidR="001B250D" w:rsidRDefault="00000000">
            <w:pPr>
              <w:keepNext/>
              <w:keepLines/>
              <w:spacing w:after="0" w:line="240" w:lineRule="auto"/>
              <w:jc w:val="right"/>
            </w:pPr>
            <w:r>
              <w:rPr>
                <w:sz w:val="18"/>
              </w:rPr>
              <w:t>114,6</w:t>
            </w:r>
          </w:p>
        </w:tc>
      </w:tr>
    </w:tbl>
    <w:p w14:paraId="6DA39FF4" w14:textId="77777777" w:rsidR="001B250D" w:rsidRDefault="001B250D">
      <w:pPr>
        <w:spacing w:after="0"/>
      </w:pPr>
    </w:p>
    <w:p w14:paraId="393C3BDE" w14:textId="77777777" w:rsidR="001B250D" w:rsidRDefault="00000000">
      <w:r>
        <w:t>Vidjeti prethodnu bilješku.</w:t>
      </w:r>
    </w:p>
    <w:p w14:paraId="56D18099" w14:textId="77777777" w:rsidR="001B250D" w:rsidRDefault="001B250D"/>
    <w:p w14:paraId="3E3F5C54" w14:textId="77777777" w:rsidR="001B250D" w:rsidRDefault="00000000">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6495D0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C5C7D4"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8FC42B"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65694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84C9D2"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3F5A62"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7B3B10" w14:textId="77777777" w:rsidR="001B250D" w:rsidRDefault="00000000">
            <w:pPr>
              <w:keepNext/>
              <w:keepLines/>
              <w:spacing w:after="0" w:line="240" w:lineRule="auto"/>
              <w:jc w:val="center"/>
            </w:pPr>
            <w:r>
              <w:rPr>
                <w:b/>
                <w:sz w:val="18"/>
              </w:rPr>
              <w:t>Indeks (%)</w:t>
            </w:r>
          </w:p>
        </w:tc>
      </w:tr>
      <w:tr w:rsidR="001B250D" w14:paraId="4A42A187" w14:textId="77777777">
        <w:tblPrEx>
          <w:tblCellMar>
            <w:top w:w="0" w:type="dxa"/>
            <w:bottom w:w="0" w:type="dxa"/>
          </w:tblCellMar>
        </w:tblPrEx>
        <w:trPr>
          <w:cantSplit/>
          <w:trHeight w:val="560"/>
        </w:trPr>
        <w:tc>
          <w:tcPr>
            <w:tcW w:w="700" w:type="dxa"/>
            <w:tcMar>
              <w:top w:w="0" w:type="dxa"/>
              <w:bottom w:w="0" w:type="dxa"/>
            </w:tcMar>
            <w:vAlign w:val="center"/>
          </w:tcPr>
          <w:p w14:paraId="62679437" w14:textId="77777777" w:rsidR="001B250D" w:rsidRDefault="00000000">
            <w:pPr>
              <w:keepNext/>
              <w:keepLines/>
              <w:spacing w:after="0" w:line="240" w:lineRule="auto"/>
            </w:pPr>
            <w:r>
              <w:rPr>
                <w:sz w:val="18"/>
              </w:rPr>
              <w:t>05</w:t>
            </w:r>
          </w:p>
        </w:tc>
        <w:tc>
          <w:tcPr>
            <w:tcW w:w="3180" w:type="dxa"/>
            <w:tcMar>
              <w:top w:w="0" w:type="dxa"/>
              <w:bottom w:w="0" w:type="dxa"/>
            </w:tcMar>
            <w:vAlign w:val="center"/>
          </w:tcPr>
          <w:p w14:paraId="3AADFBAA" w14:textId="77777777" w:rsidR="001B250D"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3F9C81FF" w14:textId="77777777" w:rsidR="001B250D" w:rsidRDefault="00000000">
            <w:pPr>
              <w:keepNext/>
              <w:keepLines/>
              <w:spacing w:after="0" w:line="240" w:lineRule="auto"/>
            </w:pPr>
            <w:r>
              <w:rPr>
                <w:sz w:val="18"/>
              </w:rPr>
              <w:t>05</w:t>
            </w:r>
          </w:p>
        </w:tc>
        <w:tc>
          <w:tcPr>
            <w:tcW w:w="1860" w:type="dxa"/>
            <w:tcMar>
              <w:top w:w="0" w:type="dxa"/>
              <w:bottom w:w="0" w:type="dxa"/>
            </w:tcMar>
            <w:vAlign w:val="center"/>
          </w:tcPr>
          <w:p w14:paraId="7233FA49" w14:textId="77777777" w:rsidR="001B250D" w:rsidRDefault="00000000">
            <w:pPr>
              <w:keepNext/>
              <w:keepLines/>
              <w:spacing w:after="0" w:line="240" w:lineRule="auto"/>
              <w:jc w:val="right"/>
            </w:pPr>
            <w:r>
              <w:rPr>
                <w:sz w:val="18"/>
              </w:rPr>
              <w:t>238.281,13</w:t>
            </w:r>
          </w:p>
        </w:tc>
        <w:tc>
          <w:tcPr>
            <w:tcW w:w="1860" w:type="dxa"/>
            <w:tcMar>
              <w:top w:w="0" w:type="dxa"/>
              <w:bottom w:w="0" w:type="dxa"/>
            </w:tcMar>
            <w:vAlign w:val="center"/>
          </w:tcPr>
          <w:p w14:paraId="4F15BCE0" w14:textId="77777777" w:rsidR="001B250D" w:rsidRDefault="00000000">
            <w:pPr>
              <w:keepNext/>
              <w:keepLines/>
              <w:spacing w:after="0" w:line="240" w:lineRule="auto"/>
              <w:jc w:val="right"/>
            </w:pPr>
            <w:r>
              <w:rPr>
                <w:sz w:val="18"/>
              </w:rPr>
              <w:t>7.400,00</w:t>
            </w:r>
          </w:p>
        </w:tc>
        <w:tc>
          <w:tcPr>
            <w:tcW w:w="700" w:type="dxa"/>
            <w:tcMar>
              <w:top w:w="0" w:type="dxa"/>
              <w:bottom w:w="0" w:type="dxa"/>
            </w:tcMar>
            <w:vAlign w:val="center"/>
          </w:tcPr>
          <w:p w14:paraId="0FFBCF0B" w14:textId="77777777" w:rsidR="001B250D" w:rsidRDefault="00000000">
            <w:pPr>
              <w:keepNext/>
              <w:keepLines/>
              <w:spacing w:after="0" w:line="240" w:lineRule="auto"/>
              <w:jc w:val="right"/>
            </w:pPr>
            <w:r>
              <w:rPr>
                <w:sz w:val="18"/>
              </w:rPr>
              <w:t>3,1</w:t>
            </w:r>
          </w:p>
        </w:tc>
      </w:tr>
    </w:tbl>
    <w:p w14:paraId="793B8B49" w14:textId="77777777" w:rsidR="001B250D" w:rsidRDefault="001B250D">
      <w:pPr>
        <w:spacing w:after="0"/>
      </w:pPr>
    </w:p>
    <w:p w14:paraId="7C5B6827" w14:textId="77777777" w:rsidR="001B250D" w:rsidRDefault="00000000">
      <w:r>
        <w:t>Po okončanim situacijama imovina u pripremi evidentirana je na odgovarajuća konta skupine računa proizvedena dugotrajna imovina.</w:t>
      </w:r>
    </w:p>
    <w:p w14:paraId="59B78B17" w14:textId="77777777" w:rsidR="001B250D" w:rsidRDefault="001B250D"/>
    <w:p w14:paraId="715FD2FC" w14:textId="77777777" w:rsidR="001B250D"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67496C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2E0164"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F805E8"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07986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EA2D2"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6958B5"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7D12DC" w14:textId="77777777" w:rsidR="001B250D" w:rsidRDefault="00000000">
            <w:pPr>
              <w:keepNext/>
              <w:keepLines/>
              <w:spacing w:after="0" w:line="240" w:lineRule="auto"/>
              <w:jc w:val="center"/>
            </w:pPr>
            <w:r>
              <w:rPr>
                <w:b/>
                <w:sz w:val="18"/>
              </w:rPr>
              <w:t>Indeks (%)</w:t>
            </w:r>
          </w:p>
        </w:tc>
      </w:tr>
      <w:tr w:rsidR="001B250D" w14:paraId="78B9D374" w14:textId="77777777">
        <w:tblPrEx>
          <w:tblCellMar>
            <w:top w:w="0" w:type="dxa"/>
            <w:bottom w:w="0" w:type="dxa"/>
          </w:tblCellMar>
        </w:tblPrEx>
        <w:trPr>
          <w:cantSplit/>
          <w:trHeight w:val="560"/>
        </w:trPr>
        <w:tc>
          <w:tcPr>
            <w:tcW w:w="700" w:type="dxa"/>
            <w:tcMar>
              <w:top w:w="0" w:type="dxa"/>
              <w:bottom w:w="0" w:type="dxa"/>
            </w:tcMar>
            <w:vAlign w:val="center"/>
          </w:tcPr>
          <w:p w14:paraId="06D31CAD" w14:textId="77777777" w:rsidR="001B250D" w:rsidRDefault="00000000">
            <w:pPr>
              <w:keepNext/>
              <w:keepLines/>
              <w:spacing w:after="0" w:line="240" w:lineRule="auto"/>
            </w:pPr>
            <w:r>
              <w:rPr>
                <w:sz w:val="18"/>
              </w:rPr>
              <w:t>1112</w:t>
            </w:r>
          </w:p>
        </w:tc>
        <w:tc>
          <w:tcPr>
            <w:tcW w:w="3180" w:type="dxa"/>
            <w:tcMar>
              <w:top w:w="0" w:type="dxa"/>
              <w:bottom w:w="0" w:type="dxa"/>
            </w:tcMar>
            <w:vAlign w:val="center"/>
          </w:tcPr>
          <w:p w14:paraId="6BFFCD98" w14:textId="77777777" w:rsidR="001B250D"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4F7F3BA0" w14:textId="77777777" w:rsidR="001B250D" w:rsidRDefault="00000000">
            <w:pPr>
              <w:keepNext/>
              <w:keepLines/>
              <w:spacing w:after="0" w:line="240" w:lineRule="auto"/>
            </w:pPr>
            <w:r>
              <w:rPr>
                <w:sz w:val="18"/>
              </w:rPr>
              <w:t>1112</w:t>
            </w:r>
          </w:p>
        </w:tc>
        <w:tc>
          <w:tcPr>
            <w:tcW w:w="1860" w:type="dxa"/>
            <w:tcMar>
              <w:top w:w="0" w:type="dxa"/>
              <w:bottom w:w="0" w:type="dxa"/>
            </w:tcMar>
            <w:vAlign w:val="center"/>
          </w:tcPr>
          <w:p w14:paraId="5F1F4942" w14:textId="77777777" w:rsidR="001B250D" w:rsidRDefault="00000000">
            <w:pPr>
              <w:keepNext/>
              <w:keepLines/>
              <w:spacing w:after="0" w:line="240" w:lineRule="auto"/>
              <w:jc w:val="right"/>
            </w:pPr>
            <w:r>
              <w:rPr>
                <w:sz w:val="18"/>
              </w:rPr>
              <w:t>8.834.470,47</w:t>
            </w:r>
          </w:p>
        </w:tc>
        <w:tc>
          <w:tcPr>
            <w:tcW w:w="1860" w:type="dxa"/>
            <w:tcMar>
              <w:top w:w="0" w:type="dxa"/>
              <w:bottom w:w="0" w:type="dxa"/>
            </w:tcMar>
            <w:vAlign w:val="center"/>
          </w:tcPr>
          <w:p w14:paraId="4E4A448A" w14:textId="77777777" w:rsidR="001B250D" w:rsidRDefault="00000000">
            <w:pPr>
              <w:keepNext/>
              <w:keepLines/>
              <w:spacing w:after="0" w:line="240" w:lineRule="auto"/>
              <w:jc w:val="right"/>
            </w:pPr>
            <w:r>
              <w:rPr>
                <w:sz w:val="18"/>
              </w:rPr>
              <w:t>6.324.155,59</w:t>
            </w:r>
          </w:p>
        </w:tc>
        <w:tc>
          <w:tcPr>
            <w:tcW w:w="700" w:type="dxa"/>
            <w:tcMar>
              <w:top w:w="0" w:type="dxa"/>
              <w:bottom w:w="0" w:type="dxa"/>
            </w:tcMar>
            <w:vAlign w:val="center"/>
          </w:tcPr>
          <w:p w14:paraId="12343AA0" w14:textId="77777777" w:rsidR="001B250D" w:rsidRDefault="00000000">
            <w:pPr>
              <w:keepNext/>
              <w:keepLines/>
              <w:spacing w:after="0" w:line="240" w:lineRule="auto"/>
              <w:jc w:val="right"/>
            </w:pPr>
            <w:r>
              <w:rPr>
                <w:sz w:val="18"/>
              </w:rPr>
              <w:t>71,6</w:t>
            </w:r>
          </w:p>
        </w:tc>
      </w:tr>
    </w:tbl>
    <w:p w14:paraId="0BF20659" w14:textId="77777777" w:rsidR="001B250D" w:rsidRDefault="001B250D">
      <w:pPr>
        <w:spacing w:after="0"/>
      </w:pPr>
    </w:p>
    <w:p w14:paraId="5EEA4BE3" w14:textId="77777777" w:rsidR="001B250D" w:rsidRDefault="00000000">
      <w:r>
        <w:t>Stanje sredstava na transakcijskom računu znatno je niže zbog većeg broja plaćenih obveza prema dobavljačima u odnosu na prethodnu godinu.</w:t>
      </w:r>
    </w:p>
    <w:p w14:paraId="5D6E2F36" w14:textId="77777777" w:rsidR="001B250D" w:rsidRDefault="001B250D"/>
    <w:p w14:paraId="67160C19" w14:textId="77777777" w:rsidR="001B250D"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9DD8C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DB00FC"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C19E96"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EDAE92"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4ED4DC"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48A9C8"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A6176D" w14:textId="77777777" w:rsidR="001B250D" w:rsidRDefault="00000000">
            <w:pPr>
              <w:keepNext/>
              <w:keepLines/>
              <w:spacing w:after="0" w:line="240" w:lineRule="auto"/>
              <w:jc w:val="center"/>
            </w:pPr>
            <w:r>
              <w:rPr>
                <w:b/>
                <w:sz w:val="18"/>
              </w:rPr>
              <w:t>Indeks (%)</w:t>
            </w:r>
          </w:p>
        </w:tc>
      </w:tr>
      <w:tr w:rsidR="001B250D" w14:paraId="53EA4EC5" w14:textId="77777777">
        <w:tblPrEx>
          <w:tblCellMar>
            <w:top w:w="0" w:type="dxa"/>
            <w:bottom w:w="0" w:type="dxa"/>
          </w:tblCellMar>
        </w:tblPrEx>
        <w:trPr>
          <w:cantSplit/>
          <w:trHeight w:val="560"/>
        </w:trPr>
        <w:tc>
          <w:tcPr>
            <w:tcW w:w="700" w:type="dxa"/>
            <w:tcMar>
              <w:top w:w="0" w:type="dxa"/>
              <w:bottom w:w="0" w:type="dxa"/>
            </w:tcMar>
            <w:vAlign w:val="center"/>
          </w:tcPr>
          <w:p w14:paraId="4356D963" w14:textId="77777777" w:rsidR="001B250D" w:rsidRDefault="00000000">
            <w:pPr>
              <w:keepNext/>
              <w:keepLines/>
              <w:spacing w:after="0" w:line="240" w:lineRule="auto"/>
            </w:pPr>
            <w:r>
              <w:rPr>
                <w:sz w:val="18"/>
              </w:rPr>
              <w:t>1121</w:t>
            </w:r>
          </w:p>
        </w:tc>
        <w:tc>
          <w:tcPr>
            <w:tcW w:w="3180" w:type="dxa"/>
            <w:tcMar>
              <w:top w:w="0" w:type="dxa"/>
              <w:bottom w:w="0" w:type="dxa"/>
            </w:tcMar>
            <w:vAlign w:val="center"/>
          </w:tcPr>
          <w:p w14:paraId="75DE725E" w14:textId="77777777" w:rsidR="001B250D" w:rsidRDefault="00000000">
            <w:pPr>
              <w:keepNext/>
              <w:keepLines/>
              <w:spacing w:after="0" w:line="240" w:lineRule="auto"/>
            </w:pPr>
            <w:r>
              <w:rPr>
                <w:sz w:val="18"/>
              </w:rPr>
              <w:t>Izdvojena novčana sredstva</w:t>
            </w:r>
          </w:p>
        </w:tc>
        <w:tc>
          <w:tcPr>
            <w:tcW w:w="700" w:type="dxa"/>
            <w:tcMar>
              <w:top w:w="0" w:type="dxa"/>
              <w:bottom w:w="0" w:type="dxa"/>
            </w:tcMar>
            <w:vAlign w:val="center"/>
          </w:tcPr>
          <w:p w14:paraId="71D68452" w14:textId="77777777" w:rsidR="001B250D" w:rsidRDefault="00000000">
            <w:pPr>
              <w:keepNext/>
              <w:keepLines/>
              <w:spacing w:after="0" w:line="240" w:lineRule="auto"/>
            </w:pPr>
            <w:r>
              <w:rPr>
                <w:sz w:val="18"/>
              </w:rPr>
              <w:t>1121</w:t>
            </w:r>
          </w:p>
        </w:tc>
        <w:tc>
          <w:tcPr>
            <w:tcW w:w="1860" w:type="dxa"/>
            <w:tcMar>
              <w:top w:w="0" w:type="dxa"/>
              <w:bottom w:w="0" w:type="dxa"/>
            </w:tcMar>
            <w:vAlign w:val="center"/>
          </w:tcPr>
          <w:p w14:paraId="4D9F2783"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6DBBB1D1" w14:textId="77777777" w:rsidR="001B250D" w:rsidRDefault="00000000">
            <w:pPr>
              <w:keepNext/>
              <w:keepLines/>
              <w:spacing w:after="0" w:line="240" w:lineRule="auto"/>
              <w:jc w:val="right"/>
            </w:pPr>
            <w:r>
              <w:rPr>
                <w:sz w:val="18"/>
              </w:rPr>
              <w:t>4.000,08</w:t>
            </w:r>
          </w:p>
        </w:tc>
        <w:tc>
          <w:tcPr>
            <w:tcW w:w="700" w:type="dxa"/>
            <w:tcMar>
              <w:top w:w="0" w:type="dxa"/>
              <w:bottom w:w="0" w:type="dxa"/>
            </w:tcMar>
            <w:vAlign w:val="center"/>
          </w:tcPr>
          <w:p w14:paraId="54A187F9" w14:textId="77777777" w:rsidR="001B250D" w:rsidRDefault="00000000">
            <w:pPr>
              <w:keepNext/>
              <w:keepLines/>
              <w:spacing w:after="0" w:line="240" w:lineRule="auto"/>
              <w:jc w:val="right"/>
            </w:pPr>
            <w:r>
              <w:rPr>
                <w:sz w:val="18"/>
              </w:rPr>
              <w:t>-</w:t>
            </w:r>
          </w:p>
        </w:tc>
      </w:tr>
    </w:tbl>
    <w:p w14:paraId="5EDCCA4F" w14:textId="77777777" w:rsidR="001B250D" w:rsidRDefault="001B250D">
      <w:pPr>
        <w:spacing w:after="0"/>
      </w:pPr>
    </w:p>
    <w:p w14:paraId="574A245F" w14:textId="77777777" w:rsidR="001B250D" w:rsidRDefault="00000000">
      <w:r>
        <w:t>Izdvojena su novčana sredstva za potrebe izvlaštenja.</w:t>
      </w:r>
    </w:p>
    <w:p w14:paraId="52622B06" w14:textId="77777777" w:rsidR="001B250D" w:rsidRDefault="001B250D"/>
    <w:p w14:paraId="1B196F35" w14:textId="77777777" w:rsidR="001B250D"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C116B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CBF88E"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0B312E"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6AAA80"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1B9C7B"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4F0C6E"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9C8119" w14:textId="77777777" w:rsidR="001B250D" w:rsidRDefault="00000000">
            <w:pPr>
              <w:keepNext/>
              <w:keepLines/>
              <w:spacing w:after="0" w:line="240" w:lineRule="auto"/>
              <w:jc w:val="center"/>
            </w:pPr>
            <w:r>
              <w:rPr>
                <w:b/>
                <w:sz w:val="18"/>
              </w:rPr>
              <w:t>Indeks (%)</w:t>
            </w:r>
          </w:p>
        </w:tc>
      </w:tr>
      <w:tr w:rsidR="001B250D" w14:paraId="0F0115EA" w14:textId="77777777">
        <w:tblPrEx>
          <w:tblCellMar>
            <w:top w:w="0" w:type="dxa"/>
            <w:bottom w:w="0" w:type="dxa"/>
          </w:tblCellMar>
        </w:tblPrEx>
        <w:trPr>
          <w:cantSplit/>
          <w:trHeight w:val="560"/>
        </w:trPr>
        <w:tc>
          <w:tcPr>
            <w:tcW w:w="700" w:type="dxa"/>
            <w:tcMar>
              <w:top w:w="0" w:type="dxa"/>
              <w:bottom w:w="0" w:type="dxa"/>
            </w:tcMar>
            <w:vAlign w:val="center"/>
          </w:tcPr>
          <w:p w14:paraId="134AA2E7" w14:textId="77777777" w:rsidR="001B250D" w:rsidRDefault="00000000">
            <w:pPr>
              <w:keepNext/>
              <w:keepLines/>
              <w:spacing w:after="0" w:line="240" w:lineRule="auto"/>
            </w:pPr>
            <w:r>
              <w:rPr>
                <w:sz w:val="18"/>
              </w:rPr>
              <w:t>129</w:t>
            </w:r>
          </w:p>
        </w:tc>
        <w:tc>
          <w:tcPr>
            <w:tcW w:w="3180" w:type="dxa"/>
            <w:tcMar>
              <w:top w:w="0" w:type="dxa"/>
              <w:bottom w:w="0" w:type="dxa"/>
            </w:tcMar>
            <w:vAlign w:val="center"/>
          </w:tcPr>
          <w:p w14:paraId="315838CF" w14:textId="77777777" w:rsidR="001B250D" w:rsidRDefault="00000000">
            <w:pPr>
              <w:keepNext/>
              <w:keepLines/>
              <w:spacing w:after="0" w:line="240" w:lineRule="auto"/>
            </w:pPr>
            <w:r>
              <w:rPr>
                <w:sz w:val="18"/>
              </w:rPr>
              <w:t>Ostala potraživanja</w:t>
            </w:r>
          </w:p>
        </w:tc>
        <w:tc>
          <w:tcPr>
            <w:tcW w:w="700" w:type="dxa"/>
            <w:tcMar>
              <w:top w:w="0" w:type="dxa"/>
              <w:bottom w:w="0" w:type="dxa"/>
            </w:tcMar>
            <w:vAlign w:val="center"/>
          </w:tcPr>
          <w:p w14:paraId="20881C37" w14:textId="77777777" w:rsidR="001B250D" w:rsidRDefault="00000000">
            <w:pPr>
              <w:keepNext/>
              <w:keepLines/>
              <w:spacing w:after="0" w:line="240" w:lineRule="auto"/>
            </w:pPr>
            <w:r>
              <w:rPr>
                <w:sz w:val="18"/>
              </w:rPr>
              <w:t>129</w:t>
            </w:r>
          </w:p>
        </w:tc>
        <w:tc>
          <w:tcPr>
            <w:tcW w:w="1860" w:type="dxa"/>
            <w:tcMar>
              <w:top w:w="0" w:type="dxa"/>
              <w:bottom w:w="0" w:type="dxa"/>
            </w:tcMar>
            <w:vAlign w:val="center"/>
          </w:tcPr>
          <w:p w14:paraId="20AF3A9B" w14:textId="77777777" w:rsidR="001B250D" w:rsidRDefault="00000000">
            <w:pPr>
              <w:keepNext/>
              <w:keepLines/>
              <w:spacing w:after="0" w:line="240" w:lineRule="auto"/>
              <w:jc w:val="right"/>
            </w:pPr>
            <w:r>
              <w:rPr>
                <w:sz w:val="18"/>
              </w:rPr>
              <w:t>35.816,78</w:t>
            </w:r>
          </w:p>
        </w:tc>
        <w:tc>
          <w:tcPr>
            <w:tcW w:w="1860" w:type="dxa"/>
            <w:tcMar>
              <w:top w:w="0" w:type="dxa"/>
              <w:bottom w:w="0" w:type="dxa"/>
            </w:tcMar>
            <w:vAlign w:val="center"/>
          </w:tcPr>
          <w:p w14:paraId="7D6810DD" w14:textId="77777777" w:rsidR="001B250D" w:rsidRDefault="00000000">
            <w:pPr>
              <w:keepNext/>
              <w:keepLines/>
              <w:spacing w:after="0" w:line="240" w:lineRule="auto"/>
              <w:jc w:val="right"/>
            </w:pPr>
            <w:r>
              <w:rPr>
                <w:sz w:val="18"/>
              </w:rPr>
              <w:t>78.754,78</w:t>
            </w:r>
          </w:p>
        </w:tc>
        <w:tc>
          <w:tcPr>
            <w:tcW w:w="700" w:type="dxa"/>
            <w:tcMar>
              <w:top w:w="0" w:type="dxa"/>
              <w:bottom w:w="0" w:type="dxa"/>
            </w:tcMar>
            <w:vAlign w:val="center"/>
          </w:tcPr>
          <w:p w14:paraId="1C5BF635" w14:textId="77777777" w:rsidR="001B250D" w:rsidRDefault="00000000">
            <w:pPr>
              <w:keepNext/>
              <w:keepLines/>
              <w:spacing w:after="0" w:line="240" w:lineRule="auto"/>
              <w:jc w:val="right"/>
            </w:pPr>
            <w:r>
              <w:rPr>
                <w:sz w:val="18"/>
              </w:rPr>
              <w:t>219,9</w:t>
            </w:r>
          </w:p>
        </w:tc>
      </w:tr>
    </w:tbl>
    <w:p w14:paraId="37B27080" w14:textId="77777777" w:rsidR="001B250D" w:rsidRDefault="001B250D">
      <w:pPr>
        <w:spacing w:after="0"/>
      </w:pPr>
    </w:p>
    <w:p w14:paraId="5392A4B5" w14:textId="77777777" w:rsidR="001B250D" w:rsidRDefault="00000000">
      <w:r>
        <w:t>Uglavnom se odnosi na potraživanja proračunskih korisnika za naknade koje se refundiraju (dječji vrtić 10.433,43 eura, osnovna škola 23.034,09 eura, Festival 28.000 eura).</w:t>
      </w:r>
    </w:p>
    <w:p w14:paraId="3BC59529" w14:textId="77777777" w:rsidR="001B250D" w:rsidRDefault="001B250D"/>
    <w:p w14:paraId="25F824D5" w14:textId="77777777" w:rsidR="001B250D"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33FBA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A9B82D"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0B640C"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0A080F"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E41046"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512BB1"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05EC1B" w14:textId="77777777" w:rsidR="001B250D" w:rsidRDefault="00000000">
            <w:pPr>
              <w:keepNext/>
              <w:keepLines/>
              <w:spacing w:after="0" w:line="240" w:lineRule="auto"/>
              <w:jc w:val="center"/>
            </w:pPr>
            <w:r>
              <w:rPr>
                <w:b/>
                <w:sz w:val="18"/>
              </w:rPr>
              <w:t>Indeks (%)</w:t>
            </w:r>
          </w:p>
        </w:tc>
      </w:tr>
      <w:tr w:rsidR="001B250D" w14:paraId="4C7893A3" w14:textId="77777777">
        <w:tblPrEx>
          <w:tblCellMar>
            <w:top w:w="0" w:type="dxa"/>
            <w:bottom w:w="0" w:type="dxa"/>
          </w:tblCellMar>
        </w:tblPrEx>
        <w:trPr>
          <w:cantSplit/>
          <w:trHeight w:val="560"/>
        </w:trPr>
        <w:tc>
          <w:tcPr>
            <w:tcW w:w="700" w:type="dxa"/>
            <w:tcMar>
              <w:top w:w="0" w:type="dxa"/>
              <w:bottom w:w="0" w:type="dxa"/>
            </w:tcMar>
            <w:vAlign w:val="center"/>
          </w:tcPr>
          <w:p w14:paraId="6EE663E9" w14:textId="77777777" w:rsidR="001B250D" w:rsidRDefault="00000000">
            <w:pPr>
              <w:keepNext/>
              <w:keepLines/>
              <w:spacing w:after="0" w:line="240" w:lineRule="auto"/>
            </w:pPr>
            <w:r>
              <w:rPr>
                <w:sz w:val="18"/>
              </w:rPr>
              <w:t>1521</w:t>
            </w:r>
          </w:p>
        </w:tc>
        <w:tc>
          <w:tcPr>
            <w:tcW w:w="3180" w:type="dxa"/>
            <w:tcMar>
              <w:top w:w="0" w:type="dxa"/>
              <w:bottom w:w="0" w:type="dxa"/>
            </w:tcMar>
            <w:vAlign w:val="center"/>
          </w:tcPr>
          <w:p w14:paraId="1793C3E1" w14:textId="77777777" w:rsidR="001B250D"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1ACE4750" w14:textId="77777777" w:rsidR="001B250D" w:rsidRDefault="00000000">
            <w:pPr>
              <w:keepNext/>
              <w:keepLines/>
              <w:spacing w:after="0" w:line="240" w:lineRule="auto"/>
            </w:pPr>
            <w:r>
              <w:rPr>
                <w:sz w:val="18"/>
              </w:rPr>
              <w:t>1521</w:t>
            </w:r>
          </w:p>
        </w:tc>
        <w:tc>
          <w:tcPr>
            <w:tcW w:w="1860" w:type="dxa"/>
            <w:tcMar>
              <w:top w:w="0" w:type="dxa"/>
              <w:bottom w:w="0" w:type="dxa"/>
            </w:tcMar>
            <w:vAlign w:val="center"/>
          </w:tcPr>
          <w:p w14:paraId="769280DB" w14:textId="77777777" w:rsidR="001B250D" w:rsidRDefault="00000000">
            <w:pPr>
              <w:keepNext/>
              <w:keepLines/>
              <w:spacing w:after="0" w:line="240" w:lineRule="auto"/>
              <w:jc w:val="right"/>
            </w:pPr>
            <w:r>
              <w:rPr>
                <w:sz w:val="18"/>
              </w:rPr>
              <w:t>43.026.619,06</w:t>
            </w:r>
          </w:p>
        </w:tc>
        <w:tc>
          <w:tcPr>
            <w:tcW w:w="1860" w:type="dxa"/>
            <w:tcMar>
              <w:top w:w="0" w:type="dxa"/>
              <w:bottom w:w="0" w:type="dxa"/>
            </w:tcMar>
            <w:vAlign w:val="center"/>
          </w:tcPr>
          <w:p w14:paraId="6D66459F" w14:textId="77777777" w:rsidR="001B250D" w:rsidRDefault="00000000">
            <w:pPr>
              <w:keepNext/>
              <w:keepLines/>
              <w:spacing w:after="0" w:line="240" w:lineRule="auto"/>
              <w:jc w:val="right"/>
            </w:pPr>
            <w:r>
              <w:rPr>
                <w:sz w:val="18"/>
              </w:rPr>
              <w:t>43.627.019,87</w:t>
            </w:r>
          </w:p>
        </w:tc>
        <w:tc>
          <w:tcPr>
            <w:tcW w:w="700" w:type="dxa"/>
            <w:tcMar>
              <w:top w:w="0" w:type="dxa"/>
              <w:bottom w:w="0" w:type="dxa"/>
            </w:tcMar>
            <w:vAlign w:val="center"/>
          </w:tcPr>
          <w:p w14:paraId="0789CC8B" w14:textId="77777777" w:rsidR="001B250D" w:rsidRDefault="00000000">
            <w:pPr>
              <w:keepNext/>
              <w:keepLines/>
              <w:spacing w:after="0" w:line="240" w:lineRule="auto"/>
              <w:jc w:val="right"/>
            </w:pPr>
            <w:r>
              <w:rPr>
                <w:sz w:val="18"/>
              </w:rPr>
              <w:t>101,4</w:t>
            </w:r>
          </w:p>
        </w:tc>
      </w:tr>
    </w:tbl>
    <w:p w14:paraId="48C4B552" w14:textId="77777777" w:rsidR="001B250D" w:rsidRDefault="001B250D">
      <w:pPr>
        <w:spacing w:after="0"/>
      </w:pPr>
    </w:p>
    <w:p w14:paraId="3D6CF437" w14:textId="77777777" w:rsidR="001B250D" w:rsidRDefault="00000000">
      <w:r>
        <w:t>Povećanje udjela u temeljnom kapitalu KD Vodovod i kanalizacija d.o.o. za 430.000 eura  sukladno Sporazumu o uređenju imovinskopravnih odnosa na k.č.5/1 k.o. Ičići te u temeljnom kapitalu TD Opatija 21 d.o.o. za 138.550 eura sukladno Ugovoru o unosu prava u temeljni kapital.</w:t>
      </w:r>
    </w:p>
    <w:p w14:paraId="17E1AB43" w14:textId="77777777" w:rsidR="001B250D" w:rsidRDefault="001B250D"/>
    <w:p w14:paraId="4773F58B" w14:textId="77777777" w:rsidR="001B250D"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21E352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9FA4EC"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86B9E3"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963698"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B94C3F"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4AEDD5D"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6EEF69" w14:textId="77777777" w:rsidR="001B250D" w:rsidRDefault="00000000">
            <w:pPr>
              <w:keepNext/>
              <w:keepLines/>
              <w:spacing w:after="0" w:line="240" w:lineRule="auto"/>
              <w:jc w:val="center"/>
            </w:pPr>
            <w:r>
              <w:rPr>
                <w:b/>
                <w:sz w:val="18"/>
              </w:rPr>
              <w:t>Indeks (%)</w:t>
            </w:r>
          </w:p>
        </w:tc>
      </w:tr>
      <w:tr w:rsidR="001B250D" w14:paraId="7DAE9611" w14:textId="77777777">
        <w:tblPrEx>
          <w:tblCellMar>
            <w:top w:w="0" w:type="dxa"/>
            <w:bottom w:w="0" w:type="dxa"/>
          </w:tblCellMar>
        </w:tblPrEx>
        <w:trPr>
          <w:cantSplit/>
          <w:trHeight w:val="560"/>
        </w:trPr>
        <w:tc>
          <w:tcPr>
            <w:tcW w:w="700" w:type="dxa"/>
            <w:tcMar>
              <w:top w:w="0" w:type="dxa"/>
              <w:bottom w:w="0" w:type="dxa"/>
            </w:tcMar>
            <w:vAlign w:val="center"/>
          </w:tcPr>
          <w:p w14:paraId="28E3E3E4" w14:textId="77777777" w:rsidR="001B250D" w:rsidRDefault="00000000">
            <w:pPr>
              <w:keepNext/>
              <w:keepLines/>
              <w:spacing w:after="0" w:line="240" w:lineRule="auto"/>
            </w:pPr>
            <w:r>
              <w:rPr>
                <w:sz w:val="18"/>
              </w:rPr>
              <w:t>16</w:t>
            </w:r>
          </w:p>
        </w:tc>
        <w:tc>
          <w:tcPr>
            <w:tcW w:w="3180" w:type="dxa"/>
            <w:tcMar>
              <w:top w:w="0" w:type="dxa"/>
              <w:bottom w:w="0" w:type="dxa"/>
            </w:tcMar>
            <w:vAlign w:val="center"/>
          </w:tcPr>
          <w:p w14:paraId="49AA596D" w14:textId="77777777" w:rsidR="001B250D"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7357BE6" w14:textId="77777777" w:rsidR="001B250D" w:rsidRDefault="00000000">
            <w:pPr>
              <w:keepNext/>
              <w:keepLines/>
              <w:spacing w:after="0" w:line="240" w:lineRule="auto"/>
            </w:pPr>
            <w:r>
              <w:rPr>
                <w:sz w:val="18"/>
              </w:rPr>
              <w:t>16</w:t>
            </w:r>
          </w:p>
        </w:tc>
        <w:tc>
          <w:tcPr>
            <w:tcW w:w="1860" w:type="dxa"/>
            <w:tcMar>
              <w:top w:w="0" w:type="dxa"/>
              <w:bottom w:w="0" w:type="dxa"/>
            </w:tcMar>
            <w:vAlign w:val="center"/>
          </w:tcPr>
          <w:p w14:paraId="49DEDD1A" w14:textId="77777777" w:rsidR="001B250D" w:rsidRDefault="00000000">
            <w:pPr>
              <w:keepNext/>
              <w:keepLines/>
              <w:spacing w:after="0" w:line="240" w:lineRule="auto"/>
              <w:jc w:val="right"/>
            </w:pPr>
            <w:r>
              <w:rPr>
                <w:sz w:val="18"/>
              </w:rPr>
              <w:t>2.102.282,80</w:t>
            </w:r>
          </w:p>
        </w:tc>
        <w:tc>
          <w:tcPr>
            <w:tcW w:w="1860" w:type="dxa"/>
            <w:tcMar>
              <w:top w:w="0" w:type="dxa"/>
              <w:bottom w:w="0" w:type="dxa"/>
            </w:tcMar>
            <w:vAlign w:val="center"/>
          </w:tcPr>
          <w:p w14:paraId="05D51148" w14:textId="77777777" w:rsidR="001B250D" w:rsidRDefault="00000000">
            <w:pPr>
              <w:keepNext/>
              <w:keepLines/>
              <w:spacing w:after="0" w:line="240" w:lineRule="auto"/>
              <w:jc w:val="right"/>
            </w:pPr>
            <w:r>
              <w:rPr>
                <w:sz w:val="18"/>
              </w:rPr>
              <w:t>3.388.912,65</w:t>
            </w:r>
          </w:p>
        </w:tc>
        <w:tc>
          <w:tcPr>
            <w:tcW w:w="700" w:type="dxa"/>
            <w:tcMar>
              <w:top w:w="0" w:type="dxa"/>
              <w:bottom w:w="0" w:type="dxa"/>
            </w:tcMar>
            <w:vAlign w:val="center"/>
          </w:tcPr>
          <w:p w14:paraId="5A049AAC" w14:textId="77777777" w:rsidR="001B250D" w:rsidRDefault="00000000">
            <w:pPr>
              <w:keepNext/>
              <w:keepLines/>
              <w:spacing w:after="0" w:line="240" w:lineRule="auto"/>
              <w:jc w:val="right"/>
            </w:pPr>
            <w:r>
              <w:rPr>
                <w:sz w:val="18"/>
              </w:rPr>
              <w:t>161,2</w:t>
            </w:r>
          </w:p>
        </w:tc>
      </w:tr>
    </w:tbl>
    <w:p w14:paraId="2DC0055C" w14:textId="77777777" w:rsidR="001B250D" w:rsidRDefault="001B250D">
      <w:pPr>
        <w:spacing w:after="0"/>
      </w:pPr>
    </w:p>
    <w:p w14:paraId="3A9A6593" w14:textId="77777777" w:rsidR="001B250D" w:rsidRDefault="00000000">
      <w:r>
        <w:t>U ukupnim potraživanjima vrijednosno su najznačajnija potraživanja za komunalne doprinose i naknade u iznosu od 1.925.763,68 eura, potraživanja od poreza na promet nekretnina 1.242.294,52 eura, potraživanja  za prihode od nefinancijske imovine 561.018,99 eura (za zakupninu poslovnog prostora, spomeničku rentu, za naknade za ceste) te potraživanja za pomoći 635.898,34 eura; sve bez uključenog ispravka vrijednosti. </w:t>
      </w:r>
    </w:p>
    <w:p w14:paraId="5037995C" w14:textId="77777777" w:rsidR="001B250D" w:rsidRDefault="00000000">
      <w:r>
        <w:t>Na datum bilance dospjelo je 3.984.137,60 eura (bez uključenog ispravka vrijednosti), a nedospjelo 1.067.387,23 eura potraživanja za prihode poslovanja.</w:t>
      </w:r>
    </w:p>
    <w:p w14:paraId="000339EA" w14:textId="77777777" w:rsidR="001B250D" w:rsidRDefault="00000000">
      <w:r>
        <w:t>Temeljem članka 129. i 130. Pravilnika o proračunskom računovodstvu i računskom planu proveden je ispravak vrijednosti potraživanja za prihode poslovanja u iznosu od 1.662.612,18 eura.</w:t>
      </w:r>
    </w:p>
    <w:p w14:paraId="16D1712B" w14:textId="77777777" w:rsidR="001B250D" w:rsidRDefault="00000000">
      <w:r>
        <w:t> </w:t>
      </w:r>
    </w:p>
    <w:p w14:paraId="7BEF4A12" w14:textId="77777777" w:rsidR="001B250D" w:rsidRDefault="001B250D"/>
    <w:p w14:paraId="25F99F32" w14:textId="77777777" w:rsidR="001B250D"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28F9DE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5D0CC4"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BF9F9C"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5AE66F"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470418"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74E968"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2B08B5" w14:textId="77777777" w:rsidR="001B250D" w:rsidRDefault="00000000">
            <w:pPr>
              <w:keepNext/>
              <w:keepLines/>
              <w:spacing w:after="0" w:line="240" w:lineRule="auto"/>
              <w:jc w:val="center"/>
            </w:pPr>
            <w:r>
              <w:rPr>
                <w:b/>
                <w:sz w:val="18"/>
              </w:rPr>
              <w:t>Indeks (%)</w:t>
            </w:r>
          </w:p>
        </w:tc>
      </w:tr>
      <w:tr w:rsidR="001B250D" w14:paraId="641D2A90" w14:textId="77777777">
        <w:tblPrEx>
          <w:tblCellMar>
            <w:top w:w="0" w:type="dxa"/>
            <w:bottom w:w="0" w:type="dxa"/>
          </w:tblCellMar>
        </w:tblPrEx>
        <w:trPr>
          <w:cantSplit/>
          <w:trHeight w:val="560"/>
        </w:trPr>
        <w:tc>
          <w:tcPr>
            <w:tcW w:w="700" w:type="dxa"/>
            <w:tcMar>
              <w:top w:w="0" w:type="dxa"/>
              <w:bottom w:w="0" w:type="dxa"/>
            </w:tcMar>
            <w:vAlign w:val="center"/>
          </w:tcPr>
          <w:p w14:paraId="14C65C1A" w14:textId="77777777" w:rsidR="001B250D" w:rsidRDefault="00000000">
            <w:pPr>
              <w:keepNext/>
              <w:keepLines/>
              <w:spacing w:after="0" w:line="240" w:lineRule="auto"/>
            </w:pPr>
            <w:r>
              <w:rPr>
                <w:sz w:val="18"/>
              </w:rPr>
              <w:t>1633</w:t>
            </w:r>
          </w:p>
        </w:tc>
        <w:tc>
          <w:tcPr>
            <w:tcW w:w="3180" w:type="dxa"/>
            <w:tcMar>
              <w:top w:w="0" w:type="dxa"/>
              <w:bottom w:w="0" w:type="dxa"/>
            </w:tcMar>
            <w:vAlign w:val="center"/>
          </w:tcPr>
          <w:p w14:paraId="18C80A78" w14:textId="77777777" w:rsidR="001B250D" w:rsidRDefault="00000000">
            <w:pPr>
              <w:keepNext/>
              <w:keepLines/>
              <w:spacing w:after="0" w:line="240" w:lineRule="auto"/>
            </w:pPr>
            <w:r>
              <w:rPr>
                <w:sz w:val="18"/>
              </w:rPr>
              <w:t>Potraživanja za pomoći proračunu i izvanproračunskim korisnicima iz drugih proračuna</w:t>
            </w:r>
          </w:p>
        </w:tc>
        <w:tc>
          <w:tcPr>
            <w:tcW w:w="700" w:type="dxa"/>
            <w:tcMar>
              <w:top w:w="0" w:type="dxa"/>
              <w:bottom w:w="0" w:type="dxa"/>
            </w:tcMar>
            <w:vAlign w:val="center"/>
          </w:tcPr>
          <w:p w14:paraId="4D4659D6" w14:textId="77777777" w:rsidR="001B250D" w:rsidRDefault="00000000">
            <w:pPr>
              <w:keepNext/>
              <w:keepLines/>
              <w:spacing w:after="0" w:line="240" w:lineRule="auto"/>
            </w:pPr>
            <w:r>
              <w:rPr>
                <w:sz w:val="18"/>
              </w:rPr>
              <w:t>1633</w:t>
            </w:r>
          </w:p>
        </w:tc>
        <w:tc>
          <w:tcPr>
            <w:tcW w:w="1860" w:type="dxa"/>
            <w:tcMar>
              <w:top w:w="0" w:type="dxa"/>
              <w:bottom w:w="0" w:type="dxa"/>
            </w:tcMar>
            <w:vAlign w:val="center"/>
          </w:tcPr>
          <w:p w14:paraId="1EF14215" w14:textId="77777777" w:rsidR="001B250D" w:rsidRDefault="00000000">
            <w:pPr>
              <w:keepNext/>
              <w:keepLines/>
              <w:spacing w:after="0" w:line="240" w:lineRule="auto"/>
              <w:jc w:val="right"/>
            </w:pPr>
            <w:r>
              <w:rPr>
                <w:sz w:val="18"/>
              </w:rPr>
              <w:t>8.658,35</w:t>
            </w:r>
          </w:p>
        </w:tc>
        <w:tc>
          <w:tcPr>
            <w:tcW w:w="1860" w:type="dxa"/>
            <w:tcMar>
              <w:top w:w="0" w:type="dxa"/>
              <w:bottom w:w="0" w:type="dxa"/>
            </w:tcMar>
            <w:vAlign w:val="center"/>
          </w:tcPr>
          <w:p w14:paraId="2880E337" w14:textId="77777777" w:rsidR="001B250D" w:rsidRDefault="00000000">
            <w:pPr>
              <w:keepNext/>
              <w:keepLines/>
              <w:spacing w:after="0" w:line="240" w:lineRule="auto"/>
              <w:jc w:val="right"/>
            </w:pPr>
            <w:r>
              <w:rPr>
                <w:sz w:val="18"/>
              </w:rPr>
              <w:t>277.978,85</w:t>
            </w:r>
          </w:p>
        </w:tc>
        <w:tc>
          <w:tcPr>
            <w:tcW w:w="700" w:type="dxa"/>
            <w:tcMar>
              <w:top w:w="0" w:type="dxa"/>
              <w:bottom w:w="0" w:type="dxa"/>
            </w:tcMar>
            <w:vAlign w:val="center"/>
          </w:tcPr>
          <w:p w14:paraId="739988AC" w14:textId="77777777" w:rsidR="001B250D" w:rsidRDefault="00000000">
            <w:pPr>
              <w:keepNext/>
              <w:keepLines/>
              <w:spacing w:after="0" w:line="240" w:lineRule="auto"/>
              <w:jc w:val="right"/>
            </w:pPr>
            <w:r>
              <w:rPr>
                <w:sz w:val="18"/>
              </w:rPr>
              <w:t>3210,5</w:t>
            </w:r>
          </w:p>
        </w:tc>
      </w:tr>
    </w:tbl>
    <w:p w14:paraId="4DF6CEB9" w14:textId="77777777" w:rsidR="001B250D" w:rsidRDefault="001B250D">
      <w:pPr>
        <w:spacing w:after="0"/>
      </w:pPr>
    </w:p>
    <w:p w14:paraId="10656514" w14:textId="77777777" w:rsidR="001B250D" w:rsidRDefault="00000000">
      <w:r>
        <w:t xml:space="preserve">Potraživanje proizlazi iz Ugovora o korištenju namjenskih sredstava iz Proračuna PGŽ za održavanje pomorskog dobra-izvan lučko područje u 2025.godini od 17.12.2025.g. u iznosu od 80.986,25 eura, Sporazuma o sufinanciranju troškova zamjene krova zgrade na adresi </w:t>
      </w:r>
      <w:r>
        <w:lastRenderedPageBreak/>
        <w:t xml:space="preserve">Maršala Tita 4, Opatija u maksimalnom iznosu od 150.000 eura sklopljenom između Grada Opatije i PGŽ-a  11.12.2025.g. te razlike između doznačenog i ugovorenog iznosa od 46.992,60 eura temeljem Ugovora o sufinanciranju provedbe EU projekata iz 2024.godine (projekt </w:t>
      </w:r>
      <w:proofErr w:type="spellStart"/>
      <w:r>
        <w:t>FoRESisT</w:t>
      </w:r>
      <w:proofErr w:type="spellEnd"/>
      <w:r>
        <w:t>).</w:t>
      </w:r>
    </w:p>
    <w:p w14:paraId="1CE369E3" w14:textId="77777777" w:rsidR="001B250D" w:rsidRDefault="001B250D"/>
    <w:p w14:paraId="5B61F717" w14:textId="77777777" w:rsidR="001B250D"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2046A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510E16"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964EF0"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F2B12"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04423B"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6DB277"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6461B0" w14:textId="77777777" w:rsidR="001B250D" w:rsidRDefault="00000000">
            <w:pPr>
              <w:keepNext/>
              <w:keepLines/>
              <w:spacing w:after="0" w:line="240" w:lineRule="auto"/>
              <w:jc w:val="center"/>
            </w:pPr>
            <w:r>
              <w:rPr>
                <w:b/>
                <w:sz w:val="18"/>
              </w:rPr>
              <w:t>Indeks (%)</w:t>
            </w:r>
          </w:p>
        </w:tc>
      </w:tr>
      <w:tr w:rsidR="001B250D" w14:paraId="2B4B3380" w14:textId="77777777">
        <w:tblPrEx>
          <w:tblCellMar>
            <w:top w:w="0" w:type="dxa"/>
            <w:bottom w:w="0" w:type="dxa"/>
          </w:tblCellMar>
        </w:tblPrEx>
        <w:trPr>
          <w:cantSplit/>
          <w:trHeight w:val="560"/>
        </w:trPr>
        <w:tc>
          <w:tcPr>
            <w:tcW w:w="700" w:type="dxa"/>
            <w:tcMar>
              <w:top w:w="0" w:type="dxa"/>
              <w:bottom w:w="0" w:type="dxa"/>
            </w:tcMar>
            <w:vAlign w:val="center"/>
          </w:tcPr>
          <w:p w14:paraId="2E70576F" w14:textId="77777777" w:rsidR="001B250D" w:rsidRDefault="00000000">
            <w:pPr>
              <w:keepNext/>
              <w:keepLines/>
              <w:spacing w:after="0" w:line="240" w:lineRule="auto"/>
            </w:pPr>
            <w:r>
              <w:rPr>
                <w:sz w:val="18"/>
              </w:rPr>
              <w:t>1636</w:t>
            </w:r>
          </w:p>
        </w:tc>
        <w:tc>
          <w:tcPr>
            <w:tcW w:w="3180" w:type="dxa"/>
            <w:tcMar>
              <w:top w:w="0" w:type="dxa"/>
              <w:bottom w:w="0" w:type="dxa"/>
            </w:tcMar>
            <w:vAlign w:val="center"/>
          </w:tcPr>
          <w:p w14:paraId="26D71046" w14:textId="77777777" w:rsidR="001B250D"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239803D4" w14:textId="77777777" w:rsidR="001B250D" w:rsidRDefault="00000000">
            <w:pPr>
              <w:keepNext/>
              <w:keepLines/>
              <w:spacing w:after="0" w:line="240" w:lineRule="auto"/>
            </w:pPr>
            <w:r>
              <w:rPr>
                <w:sz w:val="18"/>
              </w:rPr>
              <w:t>1636</w:t>
            </w:r>
          </w:p>
        </w:tc>
        <w:tc>
          <w:tcPr>
            <w:tcW w:w="1860" w:type="dxa"/>
            <w:tcMar>
              <w:top w:w="0" w:type="dxa"/>
              <w:bottom w:w="0" w:type="dxa"/>
            </w:tcMar>
            <w:vAlign w:val="center"/>
          </w:tcPr>
          <w:p w14:paraId="19D7B0E9"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02AAACC5" w14:textId="77777777" w:rsidR="001B250D" w:rsidRDefault="00000000">
            <w:pPr>
              <w:keepNext/>
              <w:keepLines/>
              <w:spacing w:after="0" w:line="240" w:lineRule="auto"/>
              <w:jc w:val="right"/>
            </w:pPr>
            <w:r>
              <w:rPr>
                <w:sz w:val="18"/>
              </w:rPr>
              <w:t>190.068,58</w:t>
            </w:r>
          </w:p>
        </w:tc>
        <w:tc>
          <w:tcPr>
            <w:tcW w:w="700" w:type="dxa"/>
            <w:tcMar>
              <w:top w:w="0" w:type="dxa"/>
              <w:bottom w:w="0" w:type="dxa"/>
            </w:tcMar>
            <w:vAlign w:val="center"/>
          </w:tcPr>
          <w:p w14:paraId="68B2B80A" w14:textId="77777777" w:rsidR="001B250D" w:rsidRDefault="00000000">
            <w:pPr>
              <w:keepNext/>
              <w:keepLines/>
              <w:spacing w:after="0" w:line="240" w:lineRule="auto"/>
              <w:jc w:val="right"/>
            </w:pPr>
            <w:r>
              <w:rPr>
                <w:sz w:val="18"/>
              </w:rPr>
              <w:t>-</w:t>
            </w:r>
          </w:p>
        </w:tc>
      </w:tr>
    </w:tbl>
    <w:p w14:paraId="7F037423" w14:textId="77777777" w:rsidR="001B250D" w:rsidRDefault="001B250D">
      <w:pPr>
        <w:spacing w:after="0"/>
      </w:pPr>
    </w:p>
    <w:p w14:paraId="428B5D39" w14:textId="77777777" w:rsidR="001B250D" w:rsidRDefault="00000000">
      <w:r>
        <w:t>Potraživanja za pomoći iz nenadležnog proračuna iskazuje osnovna škola.</w:t>
      </w:r>
    </w:p>
    <w:p w14:paraId="77842CF2" w14:textId="77777777" w:rsidR="001B250D" w:rsidRDefault="001B250D"/>
    <w:p w14:paraId="24BD2691" w14:textId="77777777" w:rsidR="001B250D"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ED42B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7D5CD3"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5EBD73"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96EAD4"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BB78D7"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17C84B"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A6BA635" w14:textId="77777777" w:rsidR="001B250D" w:rsidRDefault="00000000">
            <w:pPr>
              <w:keepNext/>
              <w:keepLines/>
              <w:spacing w:after="0" w:line="240" w:lineRule="auto"/>
              <w:jc w:val="center"/>
            </w:pPr>
            <w:r>
              <w:rPr>
                <w:b/>
                <w:sz w:val="18"/>
              </w:rPr>
              <w:t>Indeks (%)</w:t>
            </w:r>
          </w:p>
        </w:tc>
      </w:tr>
      <w:tr w:rsidR="001B250D" w14:paraId="25375C41" w14:textId="77777777">
        <w:tblPrEx>
          <w:tblCellMar>
            <w:top w:w="0" w:type="dxa"/>
            <w:bottom w:w="0" w:type="dxa"/>
          </w:tblCellMar>
        </w:tblPrEx>
        <w:trPr>
          <w:cantSplit/>
          <w:trHeight w:val="560"/>
        </w:trPr>
        <w:tc>
          <w:tcPr>
            <w:tcW w:w="700" w:type="dxa"/>
            <w:tcMar>
              <w:top w:w="0" w:type="dxa"/>
              <w:bottom w:w="0" w:type="dxa"/>
            </w:tcMar>
            <w:vAlign w:val="center"/>
          </w:tcPr>
          <w:p w14:paraId="4C997F72" w14:textId="77777777" w:rsidR="001B250D" w:rsidRDefault="00000000">
            <w:pPr>
              <w:keepNext/>
              <w:keepLines/>
              <w:spacing w:after="0" w:line="240" w:lineRule="auto"/>
            </w:pPr>
            <w:r>
              <w:rPr>
                <w:sz w:val="18"/>
              </w:rPr>
              <w:t>1638</w:t>
            </w:r>
          </w:p>
        </w:tc>
        <w:tc>
          <w:tcPr>
            <w:tcW w:w="3180" w:type="dxa"/>
            <w:tcMar>
              <w:top w:w="0" w:type="dxa"/>
              <w:bottom w:w="0" w:type="dxa"/>
            </w:tcMar>
            <w:vAlign w:val="center"/>
          </w:tcPr>
          <w:p w14:paraId="37BB23B6" w14:textId="77777777" w:rsidR="001B250D"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2155DB28" w14:textId="77777777" w:rsidR="001B250D" w:rsidRDefault="00000000">
            <w:pPr>
              <w:keepNext/>
              <w:keepLines/>
              <w:spacing w:after="0" w:line="240" w:lineRule="auto"/>
            </w:pPr>
            <w:r>
              <w:rPr>
                <w:sz w:val="18"/>
              </w:rPr>
              <w:t>1638</w:t>
            </w:r>
          </w:p>
        </w:tc>
        <w:tc>
          <w:tcPr>
            <w:tcW w:w="1860" w:type="dxa"/>
            <w:tcMar>
              <w:top w:w="0" w:type="dxa"/>
              <w:bottom w:w="0" w:type="dxa"/>
            </w:tcMar>
            <w:vAlign w:val="center"/>
          </w:tcPr>
          <w:p w14:paraId="75C53F6E"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2B1F5E1E" w14:textId="77777777" w:rsidR="001B250D" w:rsidRDefault="00000000">
            <w:pPr>
              <w:keepNext/>
              <w:keepLines/>
              <w:spacing w:after="0" w:line="240" w:lineRule="auto"/>
              <w:jc w:val="right"/>
            </w:pPr>
            <w:r>
              <w:rPr>
                <w:sz w:val="18"/>
              </w:rPr>
              <w:t>167.850,91</w:t>
            </w:r>
          </w:p>
        </w:tc>
        <w:tc>
          <w:tcPr>
            <w:tcW w:w="700" w:type="dxa"/>
            <w:tcMar>
              <w:top w:w="0" w:type="dxa"/>
              <w:bottom w:w="0" w:type="dxa"/>
            </w:tcMar>
            <w:vAlign w:val="center"/>
          </w:tcPr>
          <w:p w14:paraId="6D6A61D0" w14:textId="77777777" w:rsidR="001B250D" w:rsidRDefault="00000000">
            <w:pPr>
              <w:keepNext/>
              <w:keepLines/>
              <w:spacing w:after="0" w:line="240" w:lineRule="auto"/>
              <w:jc w:val="right"/>
            </w:pPr>
            <w:r>
              <w:rPr>
                <w:sz w:val="18"/>
              </w:rPr>
              <w:t>-</w:t>
            </w:r>
          </w:p>
        </w:tc>
      </w:tr>
    </w:tbl>
    <w:p w14:paraId="57DAEE79" w14:textId="77777777" w:rsidR="001B250D" w:rsidRDefault="001B250D">
      <w:pPr>
        <w:spacing w:after="0"/>
      </w:pPr>
    </w:p>
    <w:p w14:paraId="04FB6F07" w14:textId="77777777" w:rsidR="001B250D" w:rsidRDefault="00000000">
      <w:r>
        <w:t>Potraživanje iskazuje Grad Opatija u iznosu od 21.893,59 eura temeljem Zahtjeva za nadoknadu sredstava  u programu sufinanciranja provedbe EU projekta Uređenje i opremanje dječjeg igrališta Pobri te osnovna škola 145.957,32 eura temeljem Ugovora o dodjeli bespovratnih sredstava za osiguravanje pomoćnika u nastavi.</w:t>
      </w:r>
    </w:p>
    <w:p w14:paraId="3CDF1591" w14:textId="77777777" w:rsidR="001B250D" w:rsidRDefault="001B250D"/>
    <w:p w14:paraId="554B3417" w14:textId="77777777" w:rsidR="001B250D"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627577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1A3D15"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A62998"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967353"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D31F74"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6A78FD"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B03F33" w14:textId="77777777" w:rsidR="001B250D" w:rsidRDefault="00000000">
            <w:pPr>
              <w:keepNext/>
              <w:keepLines/>
              <w:spacing w:after="0" w:line="240" w:lineRule="auto"/>
              <w:jc w:val="center"/>
            </w:pPr>
            <w:r>
              <w:rPr>
                <w:b/>
                <w:sz w:val="18"/>
              </w:rPr>
              <w:t>Indeks (%)</w:t>
            </w:r>
          </w:p>
        </w:tc>
      </w:tr>
      <w:tr w:rsidR="001B250D" w14:paraId="3EF1375B" w14:textId="77777777">
        <w:tblPrEx>
          <w:tblCellMar>
            <w:top w:w="0" w:type="dxa"/>
            <w:bottom w:w="0" w:type="dxa"/>
          </w:tblCellMar>
        </w:tblPrEx>
        <w:trPr>
          <w:cantSplit/>
          <w:trHeight w:val="560"/>
        </w:trPr>
        <w:tc>
          <w:tcPr>
            <w:tcW w:w="700" w:type="dxa"/>
            <w:tcMar>
              <w:top w:w="0" w:type="dxa"/>
              <w:bottom w:w="0" w:type="dxa"/>
            </w:tcMar>
            <w:vAlign w:val="center"/>
          </w:tcPr>
          <w:p w14:paraId="4F7DBE5B" w14:textId="77777777" w:rsidR="001B250D" w:rsidRDefault="00000000">
            <w:pPr>
              <w:keepNext/>
              <w:keepLines/>
              <w:spacing w:after="0" w:line="240" w:lineRule="auto"/>
            </w:pPr>
            <w:r>
              <w:rPr>
                <w:sz w:val="18"/>
              </w:rPr>
              <w:t>165</w:t>
            </w:r>
          </w:p>
        </w:tc>
        <w:tc>
          <w:tcPr>
            <w:tcW w:w="3180" w:type="dxa"/>
            <w:tcMar>
              <w:top w:w="0" w:type="dxa"/>
              <w:bottom w:w="0" w:type="dxa"/>
            </w:tcMar>
            <w:vAlign w:val="center"/>
          </w:tcPr>
          <w:p w14:paraId="25FC88F8" w14:textId="77777777" w:rsidR="001B250D"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641F58C0" w14:textId="77777777" w:rsidR="001B250D" w:rsidRDefault="00000000">
            <w:pPr>
              <w:keepNext/>
              <w:keepLines/>
              <w:spacing w:after="0" w:line="240" w:lineRule="auto"/>
            </w:pPr>
            <w:r>
              <w:rPr>
                <w:sz w:val="18"/>
              </w:rPr>
              <w:t>165</w:t>
            </w:r>
          </w:p>
        </w:tc>
        <w:tc>
          <w:tcPr>
            <w:tcW w:w="1860" w:type="dxa"/>
            <w:tcMar>
              <w:top w:w="0" w:type="dxa"/>
              <w:bottom w:w="0" w:type="dxa"/>
            </w:tcMar>
            <w:vAlign w:val="center"/>
          </w:tcPr>
          <w:p w14:paraId="219CA29B" w14:textId="77777777" w:rsidR="001B250D" w:rsidRDefault="00000000">
            <w:pPr>
              <w:keepNext/>
              <w:keepLines/>
              <w:spacing w:after="0" w:line="240" w:lineRule="auto"/>
              <w:jc w:val="right"/>
            </w:pPr>
            <w:r>
              <w:rPr>
                <w:sz w:val="18"/>
              </w:rPr>
              <w:t>1.340.831,59</w:t>
            </w:r>
          </w:p>
        </w:tc>
        <w:tc>
          <w:tcPr>
            <w:tcW w:w="1860" w:type="dxa"/>
            <w:tcMar>
              <w:top w:w="0" w:type="dxa"/>
              <w:bottom w:w="0" w:type="dxa"/>
            </w:tcMar>
            <w:vAlign w:val="center"/>
          </w:tcPr>
          <w:p w14:paraId="1116DA85" w14:textId="77777777" w:rsidR="001B250D" w:rsidRDefault="00000000">
            <w:pPr>
              <w:keepNext/>
              <w:keepLines/>
              <w:spacing w:after="0" w:line="240" w:lineRule="auto"/>
              <w:jc w:val="right"/>
            </w:pPr>
            <w:r>
              <w:rPr>
                <w:sz w:val="18"/>
              </w:rPr>
              <w:t>2.107.877,83</w:t>
            </w:r>
          </w:p>
        </w:tc>
        <w:tc>
          <w:tcPr>
            <w:tcW w:w="700" w:type="dxa"/>
            <w:tcMar>
              <w:top w:w="0" w:type="dxa"/>
              <w:bottom w:w="0" w:type="dxa"/>
            </w:tcMar>
            <w:vAlign w:val="center"/>
          </w:tcPr>
          <w:p w14:paraId="34C9DB5C" w14:textId="77777777" w:rsidR="001B250D" w:rsidRDefault="00000000">
            <w:pPr>
              <w:keepNext/>
              <w:keepLines/>
              <w:spacing w:after="0" w:line="240" w:lineRule="auto"/>
              <w:jc w:val="right"/>
            </w:pPr>
            <w:r>
              <w:rPr>
                <w:sz w:val="18"/>
              </w:rPr>
              <w:t>157,2</w:t>
            </w:r>
          </w:p>
        </w:tc>
      </w:tr>
    </w:tbl>
    <w:p w14:paraId="46E57D38" w14:textId="77777777" w:rsidR="001B250D" w:rsidRDefault="001B250D">
      <w:pPr>
        <w:spacing w:after="0"/>
      </w:pPr>
    </w:p>
    <w:p w14:paraId="6D019B0B" w14:textId="77777777" w:rsidR="001B250D" w:rsidRDefault="00000000">
      <w:r>
        <w:t>Na veći iznos potraživanja u ovoj kategoriji utjecao je prije svega porast potraživanja za komunalni doprinos u odnosu na prethodno razdoblje zbog nekoliko izdanih rješenja u kojima je utvrđena obveza plaćanja komunalnog doprinosa u većem iznosu.</w:t>
      </w:r>
    </w:p>
    <w:p w14:paraId="71A5DCB2" w14:textId="77777777" w:rsidR="001B250D" w:rsidRDefault="001B250D"/>
    <w:p w14:paraId="0310817E" w14:textId="77777777" w:rsidR="001B250D"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295580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4476BF"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8C4B29"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2C6991"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ABB51"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50CB86"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9C96E5" w14:textId="77777777" w:rsidR="001B250D" w:rsidRDefault="00000000">
            <w:pPr>
              <w:keepNext/>
              <w:keepLines/>
              <w:spacing w:after="0" w:line="240" w:lineRule="auto"/>
              <w:jc w:val="center"/>
            </w:pPr>
            <w:r>
              <w:rPr>
                <w:b/>
                <w:sz w:val="18"/>
              </w:rPr>
              <w:t>Indeks (%)</w:t>
            </w:r>
          </w:p>
        </w:tc>
      </w:tr>
      <w:tr w:rsidR="001B250D" w14:paraId="16A20621" w14:textId="77777777">
        <w:tblPrEx>
          <w:tblCellMar>
            <w:top w:w="0" w:type="dxa"/>
            <w:bottom w:w="0" w:type="dxa"/>
          </w:tblCellMar>
        </w:tblPrEx>
        <w:trPr>
          <w:cantSplit/>
          <w:trHeight w:val="560"/>
        </w:trPr>
        <w:tc>
          <w:tcPr>
            <w:tcW w:w="700" w:type="dxa"/>
            <w:tcMar>
              <w:top w:w="0" w:type="dxa"/>
              <w:bottom w:w="0" w:type="dxa"/>
            </w:tcMar>
            <w:vAlign w:val="center"/>
          </w:tcPr>
          <w:p w14:paraId="501E1052" w14:textId="77777777" w:rsidR="001B250D" w:rsidRDefault="00000000">
            <w:pPr>
              <w:keepNext/>
              <w:keepLines/>
              <w:spacing w:after="0" w:line="240" w:lineRule="auto"/>
            </w:pPr>
            <w:r>
              <w:rPr>
                <w:sz w:val="18"/>
              </w:rPr>
              <w:t>17</w:t>
            </w:r>
          </w:p>
        </w:tc>
        <w:tc>
          <w:tcPr>
            <w:tcW w:w="3180" w:type="dxa"/>
            <w:tcMar>
              <w:top w:w="0" w:type="dxa"/>
              <w:bottom w:w="0" w:type="dxa"/>
            </w:tcMar>
            <w:vAlign w:val="center"/>
          </w:tcPr>
          <w:p w14:paraId="2C64E9F7" w14:textId="77777777" w:rsidR="001B250D"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367069D8" w14:textId="77777777" w:rsidR="001B250D" w:rsidRDefault="00000000">
            <w:pPr>
              <w:keepNext/>
              <w:keepLines/>
              <w:spacing w:after="0" w:line="240" w:lineRule="auto"/>
            </w:pPr>
            <w:r>
              <w:rPr>
                <w:sz w:val="18"/>
              </w:rPr>
              <w:t>17</w:t>
            </w:r>
          </w:p>
        </w:tc>
        <w:tc>
          <w:tcPr>
            <w:tcW w:w="1860" w:type="dxa"/>
            <w:tcMar>
              <w:top w:w="0" w:type="dxa"/>
              <w:bottom w:w="0" w:type="dxa"/>
            </w:tcMar>
            <w:vAlign w:val="center"/>
          </w:tcPr>
          <w:p w14:paraId="11995764" w14:textId="77777777" w:rsidR="001B250D" w:rsidRDefault="00000000">
            <w:pPr>
              <w:keepNext/>
              <w:keepLines/>
              <w:spacing w:after="0" w:line="240" w:lineRule="auto"/>
              <w:jc w:val="right"/>
            </w:pPr>
            <w:r>
              <w:rPr>
                <w:sz w:val="18"/>
              </w:rPr>
              <w:t>22.596,13</w:t>
            </w:r>
          </w:p>
        </w:tc>
        <w:tc>
          <w:tcPr>
            <w:tcW w:w="1860" w:type="dxa"/>
            <w:tcMar>
              <w:top w:w="0" w:type="dxa"/>
              <w:bottom w:w="0" w:type="dxa"/>
            </w:tcMar>
            <w:vAlign w:val="center"/>
          </w:tcPr>
          <w:p w14:paraId="42BA5B97" w14:textId="77777777" w:rsidR="001B250D" w:rsidRDefault="00000000">
            <w:pPr>
              <w:keepNext/>
              <w:keepLines/>
              <w:spacing w:after="0" w:line="240" w:lineRule="auto"/>
              <w:jc w:val="right"/>
            </w:pPr>
            <w:r>
              <w:rPr>
                <w:sz w:val="18"/>
              </w:rPr>
              <w:t>105.527,30</w:t>
            </w:r>
          </w:p>
        </w:tc>
        <w:tc>
          <w:tcPr>
            <w:tcW w:w="700" w:type="dxa"/>
            <w:tcMar>
              <w:top w:w="0" w:type="dxa"/>
              <w:bottom w:w="0" w:type="dxa"/>
            </w:tcMar>
            <w:vAlign w:val="center"/>
          </w:tcPr>
          <w:p w14:paraId="0258758B" w14:textId="77777777" w:rsidR="001B250D" w:rsidRDefault="00000000">
            <w:pPr>
              <w:keepNext/>
              <w:keepLines/>
              <w:spacing w:after="0" w:line="240" w:lineRule="auto"/>
              <w:jc w:val="right"/>
            </w:pPr>
            <w:r>
              <w:rPr>
                <w:sz w:val="18"/>
              </w:rPr>
              <w:t>467,0</w:t>
            </w:r>
          </w:p>
        </w:tc>
      </w:tr>
    </w:tbl>
    <w:p w14:paraId="60D1CF0B" w14:textId="77777777" w:rsidR="001B250D" w:rsidRDefault="001B250D">
      <w:pPr>
        <w:spacing w:after="0"/>
      </w:pPr>
    </w:p>
    <w:p w14:paraId="6C00CC88" w14:textId="77777777" w:rsidR="001B250D" w:rsidRDefault="00000000">
      <w:r>
        <w:t>Krajem godine sklopljeno je nekoliko ugovora kojima je ugovorena obročna otplata kupoprodajne cijene zemljišta.</w:t>
      </w:r>
    </w:p>
    <w:p w14:paraId="75B3810D" w14:textId="77777777" w:rsidR="001B250D" w:rsidRDefault="001B250D"/>
    <w:p w14:paraId="026AD579" w14:textId="77777777" w:rsidR="001B250D"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EDC61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8C3F46"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6442BD"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612321"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8D73FE"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A7AA4B"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3CE2F9" w14:textId="77777777" w:rsidR="001B250D" w:rsidRDefault="00000000">
            <w:pPr>
              <w:keepNext/>
              <w:keepLines/>
              <w:spacing w:after="0" w:line="240" w:lineRule="auto"/>
              <w:jc w:val="center"/>
            </w:pPr>
            <w:r>
              <w:rPr>
                <w:b/>
                <w:sz w:val="18"/>
              </w:rPr>
              <w:t>Indeks (%)</w:t>
            </w:r>
          </w:p>
        </w:tc>
      </w:tr>
      <w:tr w:rsidR="001B250D" w14:paraId="0552A8C8" w14:textId="77777777">
        <w:tblPrEx>
          <w:tblCellMar>
            <w:top w:w="0" w:type="dxa"/>
            <w:bottom w:w="0" w:type="dxa"/>
          </w:tblCellMar>
        </w:tblPrEx>
        <w:trPr>
          <w:cantSplit/>
          <w:trHeight w:val="560"/>
        </w:trPr>
        <w:tc>
          <w:tcPr>
            <w:tcW w:w="700" w:type="dxa"/>
            <w:tcMar>
              <w:top w:w="0" w:type="dxa"/>
              <w:bottom w:w="0" w:type="dxa"/>
            </w:tcMar>
            <w:vAlign w:val="center"/>
          </w:tcPr>
          <w:p w14:paraId="3798D6B7" w14:textId="77777777" w:rsidR="001B250D" w:rsidRDefault="00000000">
            <w:pPr>
              <w:keepNext/>
              <w:keepLines/>
              <w:spacing w:after="0" w:line="240" w:lineRule="auto"/>
            </w:pPr>
            <w:r>
              <w:rPr>
                <w:sz w:val="18"/>
              </w:rPr>
              <w:t>191</w:t>
            </w:r>
          </w:p>
        </w:tc>
        <w:tc>
          <w:tcPr>
            <w:tcW w:w="3180" w:type="dxa"/>
            <w:tcMar>
              <w:top w:w="0" w:type="dxa"/>
              <w:bottom w:w="0" w:type="dxa"/>
            </w:tcMar>
            <w:vAlign w:val="center"/>
          </w:tcPr>
          <w:p w14:paraId="7D7203CB" w14:textId="77777777" w:rsidR="001B250D" w:rsidRDefault="00000000">
            <w:pPr>
              <w:keepNext/>
              <w:keepLines/>
              <w:spacing w:after="0" w:line="240" w:lineRule="auto"/>
            </w:pPr>
            <w:r>
              <w:rPr>
                <w:sz w:val="18"/>
              </w:rPr>
              <w:t>Rashodi budućih razdoblja</w:t>
            </w:r>
          </w:p>
        </w:tc>
        <w:tc>
          <w:tcPr>
            <w:tcW w:w="700" w:type="dxa"/>
            <w:tcMar>
              <w:top w:w="0" w:type="dxa"/>
              <w:bottom w:w="0" w:type="dxa"/>
            </w:tcMar>
            <w:vAlign w:val="center"/>
          </w:tcPr>
          <w:p w14:paraId="1A08705E" w14:textId="77777777" w:rsidR="001B250D" w:rsidRDefault="00000000">
            <w:pPr>
              <w:keepNext/>
              <w:keepLines/>
              <w:spacing w:after="0" w:line="240" w:lineRule="auto"/>
            </w:pPr>
            <w:r>
              <w:rPr>
                <w:sz w:val="18"/>
              </w:rPr>
              <w:t>191</w:t>
            </w:r>
          </w:p>
        </w:tc>
        <w:tc>
          <w:tcPr>
            <w:tcW w:w="1860" w:type="dxa"/>
            <w:tcMar>
              <w:top w:w="0" w:type="dxa"/>
              <w:bottom w:w="0" w:type="dxa"/>
            </w:tcMar>
            <w:vAlign w:val="center"/>
          </w:tcPr>
          <w:p w14:paraId="50CB9619"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2D4A0FA8" w14:textId="77777777" w:rsidR="001B250D" w:rsidRDefault="00000000">
            <w:pPr>
              <w:keepNext/>
              <w:keepLines/>
              <w:spacing w:after="0" w:line="240" w:lineRule="auto"/>
              <w:jc w:val="right"/>
            </w:pPr>
            <w:r>
              <w:rPr>
                <w:sz w:val="18"/>
              </w:rPr>
              <w:t>4.122,73</w:t>
            </w:r>
          </w:p>
        </w:tc>
        <w:tc>
          <w:tcPr>
            <w:tcW w:w="700" w:type="dxa"/>
            <w:tcMar>
              <w:top w:w="0" w:type="dxa"/>
              <w:bottom w:w="0" w:type="dxa"/>
            </w:tcMar>
            <w:vAlign w:val="center"/>
          </w:tcPr>
          <w:p w14:paraId="0D4759F4" w14:textId="77777777" w:rsidR="001B250D" w:rsidRDefault="00000000">
            <w:pPr>
              <w:keepNext/>
              <w:keepLines/>
              <w:spacing w:after="0" w:line="240" w:lineRule="auto"/>
              <w:jc w:val="right"/>
            </w:pPr>
            <w:r>
              <w:rPr>
                <w:sz w:val="18"/>
              </w:rPr>
              <w:t>-</w:t>
            </w:r>
          </w:p>
        </w:tc>
      </w:tr>
    </w:tbl>
    <w:p w14:paraId="4F21AA8A" w14:textId="77777777" w:rsidR="001B250D" w:rsidRDefault="001B250D">
      <w:pPr>
        <w:spacing w:after="0"/>
      </w:pPr>
    </w:p>
    <w:p w14:paraId="59985E93" w14:textId="77777777" w:rsidR="001B250D" w:rsidRDefault="00000000">
      <w:r>
        <w:t>Iskazani iznos odnosi se na rashode kojima će se teretiti iduća godina prema dospijeću svake pojedine rate premije osiguranja.</w:t>
      </w:r>
    </w:p>
    <w:p w14:paraId="45712390" w14:textId="77777777" w:rsidR="001B250D" w:rsidRDefault="001B250D"/>
    <w:p w14:paraId="206E3650" w14:textId="77777777" w:rsidR="001B250D"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7F5F1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65D39"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D33C75"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32BCB"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3FC0A"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98D7B0"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973C6D" w14:textId="77777777" w:rsidR="001B250D" w:rsidRDefault="00000000">
            <w:pPr>
              <w:keepNext/>
              <w:keepLines/>
              <w:spacing w:after="0" w:line="240" w:lineRule="auto"/>
              <w:jc w:val="center"/>
            </w:pPr>
            <w:r>
              <w:rPr>
                <w:b/>
                <w:sz w:val="18"/>
              </w:rPr>
              <w:t>Indeks (%)</w:t>
            </w:r>
          </w:p>
        </w:tc>
      </w:tr>
      <w:tr w:rsidR="001B250D" w14:paraId="4FFE4148" w14:textId="77777777">
        <w:tblPrEx>
          <w:tblCellMar>
            <w:top w:w="0" w:type="dxa"/>
            <w:bottom w:w="0" w:type="dxa"/>
          </w:tblCellMar>
        </w:tblPrEx>
        <w:trPr>
          <w:cantSplit/>
          <w:trHeight w:val="560"/>
        </w:trPr>
        <w:tc>
          <w:tcPr>
            <w:tcW w:w="700" w:type="dxa"/>
            <w:tcMar>
              <w:top w:w="0" w:type="dxa"/>
              <w:bottom w:w="0" w:type="dxa"/>
            </w:tcMar>
            <w:vAlign w:val="center"/>
          </w:tcPr>
          <w:p w14:paraId="315199A8" w14:textId="77777777" w:rsidR="001B250D" w:rsidRDefault="00000000">
            <w:pPr>
              <w:keepNext/>
              <w:keepLines/>
              <w:spacing w:after="0" w:line="240" w:lineRule="auto"/>
            </w:pPr>
            <w:r>
              <w:rPr>
                <w:sz w:val="18"/>
              </w:rPr>
              <w:t>2</w:t>
            </w:r>
          </w:p>
        </w:tc>
        <w:tc>
          <w:tcPr>
            <w:tcW w:w="3180" w:type="dxa"/>
            <w:tcMar>
              <w:top w:w="0" w:type="dxa"/>
              <w:bottom w:w="0" w:type="dxa"/>
            </w:tcMar>
            <w:vAlign w:val="center"/>
          </w:tcPr>
          <w:p w14:paraId="22808997" w14:textId="77777777" w:rsidR="001B250D" w:rsidRDefault="00000000">
            <w:pPr>
              <w:keepNext/>
              <w:keepLines/>
              <w:spacing w:after="0" w:line="240" w:lineRule="auto"/>
            </w:pPr>
            <w:r>
              <w:rPr>
                <w:sz w:val="18"/>
              </w:rPr>
              <w:t>Obveze (šifre 23+24+25+26+27+29)</w:t>
            </w:r>
          </w:p>
        </w:tc>
        <w:tc>
          <w:tcPr>
            <w:tcW w:w="700" w:type="dxa"/>
            <w:tcMar>
              <w:top w:w="0" w:type="dxa"/>
              <w:bottom w:w="0" w:type="dxa"/>
            </w:tcMar>
            <w:vAlign w:val="center"/>
          </w:tcPr>
          <w:p w14:paraId="382B2B3D" w14:textId="77777777" w:rsidR="001B250D" w:rsidRDefault="00000000">
            <w:pPr>
              <w:keepNext/>
              <w:keepLines/>
              <w:spacing w:after="0" w:line="240" w:lineRule="auto"/>
            </w:pPr>
            <w:r>
              <w:rPr>
                <w:sz w:val="18"/>
              </w:rPr>
              <w:t>2</w:t>
            </w:r>
          </w:p>
        </w:tc>
        <w:tc>
          <w:tcPr>
            <w:tcW w:w="1860" w:type="dxa"/>
            <w:tcMar>
              <w:top w:w="0" w:type="dxa"/>
              <w:bottom w:w="0" w:type="dxa"/>
            </w:tcMar>
            <w:vAlign w:val="center"/>
          </w:tcPr>
          <w:p w14:paraId="6B26A4A4" w14:textId="77777777" w:rsidR="001B250D" w:rsidRDefault="00000000">
            <w:pPr>
              <w:keepNext/>
              <w:keepLines/>
              <w:spacing w:after="0" w:line="240" w:lineRule="auto"/>
              <w:jc w:val="right"/>
            </w:pPr>
            <w:r>
              <w:rPr>
                <w:sz w:val="18"/>
              </w:rPr>
              <w:t>6.921.910,46</w:t>
            </w:r>
          </w:p>
        </w:tc>
        <w:tc>
          <w:tcPr>
            <w:tcW w:w="1860" w:type="dxa"/>
            <w:tcMar>
              <w:top w:w="0" w:type="dxa"/>
              <w:bottom w:w="0" w:type="dxa"/>
            </w:tcMar>
            <w:vAlign w:val="center"/>
          </w:tcPr>
          <w:p w14:paraId="44870D7B" w14:textId="77777777" w:rsidR="001B250D" w:rsidRDefault="00000000">
            <w:pPr>
              <w:keepNext/>
              <w:keepLines/>
              <w:spacing w:after="0" w:line="240" w:lineRule="auto"/>
              <w:jc w:val="right"/>
            </w:pPr>
            <w:r>
              <w:rPr>
                <w:sz w:val="18"/>
              </w:rPr>
              <w:t>6.640.144,00</w:t>
            </w:r>
          </w:p>
        </w:tc>
        <w:tc>
          <w:tcPr>
            <w:tcW w:w="700" w:type="dxa"/>
            <w:tcMar>
              <w:top w:w="0" w:type="dxa"/>
              <w:bottom w:w="0" w:type="dxa"/>
            </w:tcMar>
            <w:vAlign w:val="center"/>
          </w:tcPr>
          <w:p w14:paraId="0C1D02BA" w14:textId="77777777" w:rsidR="001B250D" w:rsidRDefault="00000000">
            <w:pPr>
              <w:keepNext/>
              <w:keepLines/>
              <w:spacing w:after="0" w:line="240" w:lineRule="auto"/>
              <w:jc w:val="right"/>
            </w:pPr>
            <w:r>
              <w:rPr>
                <w:sz w:val="18"/>
              </w:rPr>
              <w:t>95,9</w:t>
            </w:r>
          </w:p>
        </w:tc>
      </w:tr>
    </w:tbl>
    <w:p w14:paraId="681B4B55" w14:textId="77777777" w:rsidR="001B250D" w:rsidRDefault="001B250D">
      <w:pPr>
        <w:spacing w:after="0"/>
      </w:pPr>
    </w:p>
    <w:p w14:paraId="7A25F675" w14:textId="77777777" w:rsidR="001B250D" w:rsidRDefault="00000000">
      <w:r>
        <w:t xml:space="preserve">Ukupne obveze na dan bilanciranja iznose 6.640.144,00 eura (uključujući i skupinu 29) . Najveći dio obaveza odnosi se na ugovoreno dugoročno kreditno zaduženje Grada Opatije u iznosu od 3.438.928,94 eura (glavnica i kamata) kod Zagrebačke banke d.d. za izgradnju KTC Gervais te kod HBOR-a za modernizaciju javne rasvjete. Od preostalih obveza vrijednosno najznačajnije su obveze za zaposlene (951.507,19 eura) te obveze za materijalne rashode (767.461,90 eura). Dospjele obveze iskazuje jedino osnovna škola i to u iznosu od 822,31 eura. Sve ostale obveze su </w:t>
      </w:r>
      <w:proofErr w:type="spellStart"/>
      <w:r>
        <w:t>nedospijele</w:t>
      </w:r>
      <w:proofErr w:type="spellEnd"/>
      <w:r>
        <w:t xml:space="preserve"> i odnose se  najvećim dijelom na obračunate plaće za zaposlene za mjesec prosinac 2025. i materijalne rashode nastale u prosincu 2025. , a koje su podmirene u siječnju 2026.g. Sve obveze se podmiruju u dospijeću.</w:t>
      </w:r>
    </w:p>
    <w:p w14:paraId="1D6CED01" w14:textId="77777777" w:rsidR="001B250D" w:rsidRDefault="001B250D"/>
    <w:p w14:paraId="76CCF4A2" w14:textId="77777777" w:rsidR="001B250D"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4C752E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D1F0AD"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0AE036"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483668"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5C15DC"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BF9035"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0C21AF" w14:textId="77777777" w:rsidR="001B250D" w:rsidRDefault="00000000">
            <w:pPr>
              <w:keepNext/>
              <w:keepLines/>
              <w:spacing w:after="0" w:line="240" w:lineRule="auto"/>
              <w:jc w:val="center"/>
            </w:pPr>
            <w:r>
              <w:rPr>
                <w:b/>
                <w:sz w:val="18"/>
              </w:rPr>
              <w:t>Indeks (%)</w:t>
            </w:r>
          </w:p>
        </w:tc>
      </w:tr>
      <w:tr w:rsidR="001B250D" w14:paraId="3FCB0CBA" w14:textId="77777777">
        <w:tblPrEx>
          <w:tblCellMar>
            <w:top w:w="0" w:type="dxa"/>
            <w:bottom w:w="0" w:type="dxa"/>
          </w:tblCellMar>
        </w:tblPrEx>
        <w:trPr>
          <w:cantSplit/>
          <w:trHeight w:val="560"/>
        </w:trPr>
        <w:tc>
          <w:tcPr>
            <w:tcW w:w="700" w:type="dxa"/>
            <w:tcMar>
              <w:top w:w="0" w:type="dxa"/>
              <w:bottom w:w="0" w:type="dxa"/>
            </w:tcMar>
            <w:vAlign w:val="center"/>
          </w:tcPr>
          <w:p w14:paraId="4672F119" w14:textId="77777777" w:rsidR="001B250D" w:rsidRDefault="00000000">
            <w:pPr>
              <w:keepNext/>
              <w:keepLines/>
              <w:spacing w:after="0" w:line="240" w:lineRule="auto"/>
            </w:pPr>
            <w:r>
              <w:rPr>
                <w:sz w:val="18"/>
              </w:rPr>
              <w:t>29</w:t>
            </w:r>
          </w:p>
        </w:tc>
        <w:tc>
          <w:tcPr>
            <w:tcW w:w="3180" w:type="dxa"/>
            <w:tcMar>
              <w:top w:w="0" w:type="dxa"/>
              <w:bottom w:w="0" w:type="dxa"/>
            </w:tcMar>
            <w:vAlign w:val="center"/>
          </w:tcPr>
          <w:p w14:paraId="429814EA" w14:textId="77777777" w:rsidR="001B250D" w:rsidRDefault="00000000">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5F671DC3" w14:textId="77777777" w:rsidR="001B250D" w:rsidRDefault="00000000">
            <w:pPr>
              <w:keepNext/>
              <w:keepLines/>
              <w:spacing w:after="0" w:line="240" w:lineRule="auto"/>
            </w:pPr>
            <w:r>
              <w:rPr>
                <w:sz w:val="18"/>
              </w:rPr>
              <w:t>29</w:t>
            </w:r>
          </w:p>
        </w:tc>
        <w:tc>
          <w:tcPr>
            <w:tcW w:w="1860" w:type="dxa"/>
            <w:tcMar>
              <w:top w:w="0" w:type="dxa"/>
              <w:bottom w:w="0" w:type="dxa"/>
            </w:tcMar>
            <w:vAlign w:val="center"/>
          </w:tcPr>
          <w:p w14:paraId="11EDA9FE" w14:textId="77777777" w:rsidR="001B250D" w:rsidRDefault="00000000">
            <w:pPr>
              <w:keepNext/>
              <w:keepLines/>
              <w:spacing w:after="0" w:line="240" w:lineRule="auto"/>
              <w:jc w:val="right"/>
            </w:pPr>
            <w:r>
              <w:rPr>
                <w:sz w:val="18"/>
              </w:rPr>
              <w:t>45.956,08</w:t>
            </w:r>
          </w:p>
        </w:tc>
        <w:tc>
          <w:tcPr>
            <w:tcW w:w="1860" w:type="dxa"/>
            <w:tcMar>
              <w:top w:w="0" w:type="dxa"/>
              <w:bottom w:w="0" w:type="dxa"/>
            </w:tcMar>
            <w:vAlign w:val="center"/>
          </w:tcPr>
          <w:p w14:paraId="659F3B2E" w14:textId="77777777" w:rsidR="001B250D" w:rsidRDefault="00000000">
            <w:pPr>
              <w:keepNext/>
              <w:keepLines/>
              <w:spacing w:after="0" w:line="240" w:lineRule="auto"/>
              <w:jc w:val="right"/>
            </w:pPr>
            <w:r>
              <w:rPr>
                <w:sz w:val="18"/>
              </w:rPr>
              <w:t>171.891,51</w:t>
            </w:r>
          </w:p>
        </w:tc>
        <w:tc>
          <w:tcPr>
            <w:tcW w:w="700" w:type="dxa"/>
            <w:tcMar>
              <w:top w:w="0" w:type="dxa"/>
              <w:bottom w:w="0" w:type="dxa"/>
            </w:tcMar>
            <w:vAlign w:val="center"/>
          </w:tcPr>
          <w:p w14:paraId="28AE3F9C" w14:textId="77777777" w:rsidR="001B250D" w:rsidRDefault="00000000">
            <w:pPr>
              <w:keepNext/>
              <w:keepLines/>
              <w:spacing w:after="0" w:line="240" w:lineRule="auto"/>
              <w:jc w:val="right"/>
            </w:pPr>
            <w:r>
              <w:rPr>
                <w:sz w:val="18"/>
              </w:rPr>
              <w:t>374,0</w:t>
            </w:r>
          </w:p>
        </w:tc>
      </w:tr>
    </w:tbl>
    <w:p w14:paraId="6BB4193A" w14:textId="77777777" w:rsidR="001B250D" w:rsidRDefault="001B250D">
      <w:pPr>
        <w:spacing w:after="0"/>
      </w:pPr>
    </w:p>
    <w:p w14:paraId="7738C838" w14:textId="77777777" w:rsidR="001B250D" w:rsidRDefault="00000000">
      <w:r>
        <w:t>U ovoj skupini računa evidentirani su unaprijed naplaćeni prihodi s osnove komunalne naknade, komunalnog doprinosa, gradskih poreza i ostalih prihoda.  </w:t>
      </w:r>
    </w:p>
    <w:p w14:paraId="5865F9D0" w14:textId="77777777" w:rsidR="001B250D" w:rsidRDefault="001B250D"/>
    <w:p w14:paraId="5B2D88F0" w14:textId="77777777" w:rsidR="001B250D"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7872E3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B39FF"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1CF188"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6ADF06"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AC33F"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210819"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409A78" w14:textId="77777777" w:rsidR="001B250D" w:rsidRDefault="00000000">
            <w:pPr>
              <w:keepNext/>
              <w:keepLines/>
              <w:spacing w:after="0" w:line="240" w:lineRule="auto"/>
              <w:jc w:val="center"/>
            </w:pPr>
            <w:r>
              <w:rPr>
                <w:b/>
                <w:sz w:val="18"/>
              </w:rPr>
              <w:t>Indeks (%)</w:t>
            </w:r>
          </w:p>
        </w:tc>
      </w:tr>
      <w:tr w:rsidR="001B250D" w14:paraId="7BA814F7" w14:textId="77777777">
        <w:tblPrEx>
          <w:tblCellMar>
            <w:top w:w="0" w:type="dxa"/>
            <w:bottom w:w="0" w:type="dxa"/>
          </w:tblCellMar>
        </w:tblPrEx>
        <w:trPr>
          <w:cantSplit/>
          <w:trHeight w:val="560"/>
        </w:trPr>
        <w:tc>
          <w:tcPr>
            <w:tcW w:w="700" w:type="dxa"/>
            <w:tcMar>
              <w:top w:w="0" w:type="dxa"/>
              <w:bottom w:w="0" w:type="dxa"/>
            </w:tcMar>
            <w:vAlign w:val="center"/>
          </w:tcPr>
          <w:p w14:paraId="6A870EF6" w14:textId="77777777" w:rsidR="001B250D" w:rsidRDefault="00000000">
            <w:pPr>
              <w:keepNext/>
              <w:keepLines/>
              <w:spacing w:after="0" w:line="240" w:lineRule="auto"/>
            </w:pPr>
            <w:r>
              <w:rPr>
                <w:sz w:val="18"/>
              </w:rPr>
              <w:t>97</w:t>
            </w:r>
          </w:p>
        </w:tc>
        <w:tc>
          <w:tcPr>
            <w:tcW w:w="3180" w:type="dxa"/>
            <w:tcMar>
              <w:top w:w="0" w:type="dxa"/>
              <w:bottom w:w="0" w:type="dxa"/>
            </w:tcMar>
            <w:vAlign w:val="center"/>
          </w:tcPr>
          <w:p w14:paraId="5A55D54C" w14:textId="77777777" w:rsidR="001B250D"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29E4ADF6" w14:textId="77777777" w:rsidR="001B250D" w:rsidRDefault="00000000">
            <w:pPr>
              <w:keepNext/>
              <w:keepLines/>
              <w:spacing w:after="0" w:line="240" w:lineRule="auto"/>
            </w:pPr>
            <w:r>
              <w:rPr>
                <w:sz w:val="18"/>
              </w:rPr>
              <w:t>97</w:t>
            </w:r>
          </w:p>
        </w:tc>
        <w:tc>
          <w:tcPr>
            <w:tcW w:w="1860" w:type="dxa"/>
            <w:tcMar>
              <w:top w:w="0" w:type="dxa"/>
              <w:bottom w:w="0" w:type="dxa"/>
            </w:tcMar>
            <w:vAlign w:val="center"/>
          </w:tcPr>
          <w:p w14:paraId="44F278AE" w14:textId="77777777" w:rsidR="001B250D" w:rsidRDefault="00000000">
            <w:pPr>
              <w:keepNext/>
              <w:keepLines/>
              <w:spacing w:after="0" w:line="240" w:lineRule="auto"/>
              <w:jc w:val="right"/>
            </w:pPr>
            <w:r>
              <w:rPr>
                <w:sz w:val="18"/>
              </w:rPr>
              <w:t>22.596,13</w:t>
            </w:r>
          </w:p>
        </w:tc>
        <w:tc>
          <w:tcPr>
            <w:tcW w:w="1860" w:type="dxa"/>
            <w:tcMar>
              <w:top w:w="0" w:type="dxa"/>
              <w:bottom w:w="0" w:type="dxa"/>
            </w:tcMar>
            <w:vAlign w:val="center"/>
          </w:tcPr>
          <w:p w14:paraId="250C7B89" w14:textId="77777777" w:rsidR="001B250D" w:rsidRDefault="00000000">
            <w:pPr>
              <w:keepNext/>
              <w:keepLines/>
              <w:spacing w:after="0" w:line="240" w:lineRule="auto"/>
              <w:jc w:val="right"/>
            </w:pPr>
            <w:r>
              <w:rPr>
                <w:sz w:val="18"/>
              </w:rPr>
              <w:t>105.527,30</w:t>
            </w:r>
          </w:p>
        </w:tc>
        <w:tc>
          <w:tcPr>
            <w:tcW w:w="700" w:type="dxa"/>
            <w:tcMar>
              <w:top w:w="0" w:type="dxa"/>
              <w:bottom w:w="0" w:type="dxa"/>
            </w:tcMar>
            <w:vAlign w:val="center"/>
          </w:tcPr>
          <w:p w14:paraId="6AEC05D1" w14:textId="77777777" w:rsidR="001B250D" w:rsidRDefault="00000000">
            <w:pPr>
              <w:keepNext/>
              <w:keepLines/>
              <w:spacing w:after="0" w:line="240" w:lineRule="auto"/>
              <w:jc w:val="right"/>
            </w:pPr>
            <w:r>
              <w:rPr>
                <w:sz w:val="18"/>
              </w:rPr>
              <w:t>467,0</w:t>
            </w:r>
          </w:p>
        </w:tc>
      </w:tr>
    </w:tbl>
    <w:p w14:paraId="7A393340" w14:textId="77777777" w:rsidR="001B250D" w:rsidRDefault="001B250D">
      <w:pPr>
        <w:spacing w:after="0"/>
      </w:pPr>
    </w:p>
    <w:p w14:paraId="7F701143" w14:textId="77777777" w:rsidR="001B250D" w:rsidRDefault="00000000">
      <w:r>
        <w:t xml:space="preserve">Zbog realizirane kupoprodaje zemljišta za koju je ugovoreno obročno plaćanje, zabilježeno je povećanje obračunatih prihoda od prodaje </w:t>
      </w:r>
      <w:proofErr w:type="spellStart"/>
      <w:r>
        <w:t>nefunancijske</w:t>
      </w:r>
      <w:proofErr w:type="spellEnd"/>
      <w:r>
        <w:t xml:space="preserve"> imovine.</w:t>
      </w:r>
    </w:p>
    <w:p w14:paraId="095330A7" w14:textId="77777777" w:rsidR="001B250D" w:rsidRDefault="001B250D"/>
    <w:p w14:paraId="577E2D24" w14:textId="77777777" w:rsidR="001B250D"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303E12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9699F1"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9C808E"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FC7E70"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B40AB" w14:textId="77777777" w:rsidR="001B250D"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3C9984" w14:textId="77777777" w:rsidR="001B250D"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DA3C09" w14:textId="77777777" w:rsidR="001B250D" w:rsidRDefault="00000000">
            <w:pPr>
              <w:keepNext/>
              <w:keepLines/>
              <w:spacing w:after="0" w:line="240" w:lineRule="auto"/>
              <w:jc w:val="center"/>
            </w:pPr>
            <w:r>
              <w:rPr>
                <w:b/>
                <w:sz w:val="18"/>
              </w:rPr>
              <w:t>Indeks (%)</w:t>
            </w:r>
          </w:p>
        </w:tc>
      </w:tr>
      <w:tr w:rsidR="001B250D" w14:paraId="557C57F0" w14:textId="77777777">
        <w:tblPrEx>
          <w:tblCellMar>
            <w:top w:w="0" w:type="dxa"/>
            <w:bottom w:w="0" w:type="dxa"/>
          </w:tblCellMar>
        </w:tblPrEx>
        <w:trPr>
          <w:cantSplit/>
          <w:trHeight w:val="560"/>
        </w:trPr>
        <w:tc>
          <w:tcPr>
            <w:tcW w:w="700" w:type="dxa"/>
            <w:tcMar>
              <w:top w:w="0" w:type="dxa"/>
              <w:bottom w:w="0" w:type="dxa"/>
            </w:tcMar>
            <w:vAlign w:val="center"/>
          </w:tcPr>
          <w:p w14:paraId="5853659B" w14:textId="77777777" w:rsidR="001B250D" w:rsidRDefault="00000000">
            <w:pPr>
              <w:keepNext/>
              <w:keepLines/>
              <w:spacing w:after="0" w:line="240" w:lineRule="auto"/>
            </w:pPr>
            <w:r>
              <w:rPr>
                <w:sz w:val="18"/>
              </w:rPr>
              <w:t>991</w:t>
            </w:r>
          </w:p>
        </w:tc>
        <w:tc>
          <w:tcPr>
            <w:tcW w:w="3180" w:type="dxa"/>
            <w:tcMar>
              <w:top w:w="0" w:type="dxa"/>
              <w:bottom w:w="0" w:type="dxa"/>
            </w:tcMar>
            <w:vAlign w:val="center"/>
          </w:tcPr>
          <w:p w14:paraId="126DD3C3" w14:textId="77777777" w:rsidR="001B250D"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1A619B43" w14:textId="77777777" w:rsidR="001B250D" w:rsidRDefault="00000000">
            <w:pPr>
              <w:keepNext/>
              <w:keepLines/>
              <w:spacing w:after="0" w:line="240" w:lineRule="auto"/>
            </w:pPr>
            <w:r>
              <w:rPr>
                <w:sz w:val="18"/>
              </w:rPr>
              <w:t>991</w:t>
            </w:r>
          </w:p>
        </w:tc>
        <w:tc>
          <w:tcPr>
            <w:tcW w:w="1860" w:type="dxa"/>
            <w:tcMar>
              <w:top w:w="0" w:type="dxa"/>
              <w:bottom w:w="0" w:type="dxa"/>
            </w:tcMar>
            <w:vAlign w:val="center"/>
          </w:tcPr>
          <w:p w14:paraId="2D8E0E64" w14:textId="77777777" w:rsidR="001B250D" w:rsidRDefault="00000000">
            <w:pPr>
              <w:keepNext/>
              <w:keepLines/>
              <w:spacing w:after="0" w:line="240" w:lineRule="auto"/>
              <w:jc w:val="right"/>
            </w:pPr>
            <w:r>
              <w:rPr>
                <w:sz w:val="18"/>
              </w:rPr>
              <w:t>57.615.074,58</w:t>
            </w:r>
          </w:p>
        </w:tc>
        <w:tc>
          <w:tcPr>
            <w:tcW w:w="1860" w:type="dxa"/>
            <w:tcMar>
              <w:top w:w="0" w:type="dxa"/>
              <w:bottom w:w="0" w:type="dxa"/>
            </w:tcMar>
            <w:vAlign w:val="center"/>
          </w:tcPr>
          <w:p w14:paraId="3DCADCE2" w14:textId="77777777" w:rsidR="001B250D" w:rsidRDefault="00000000">
            <w:pPr>
              <w:keepNext/>
              <w:keepLines/>
              <w:spacing w:after="0" w:line="240" w:lineRule="auto"/>
              <w:jc w:val="right"/>
            </w:pPr>
            <w:r>
              <w:rPr>
                <w:sz w:val="18"/>
              </w:rPr>
              <w:t>69.714.016,88</w:t>
            </w:r>
          </w:p>
        </w:tc>
        <w:tc>
          <w:tcPr>
            <w:tcW w:w="700" w:type="dxa"/>
            <w:tcMar>
              <w:top w:w="0" w:type="dxa"/>
              <w:bottom w:w="0" w:type="dxa"/>
            </w:tcMar>
            <w:vAlign w:val="center"/>
          </w:tcPr>
          <w:p w14:paraId="2A8899AD" w14:textId="77777777" w:rsidR="001B250D" w:rsidRDefault="00000000">
            <w:pPr>
              <w:keepNext/>
              <w:keepLines/>
              <w:spacing w:after="0" w:line="240" w:lineRule="auto"/>
              <w:jc w:val="right"/>
            </w:pPr>
            <w:r>
              <w:rPr>
                <w:sz w:val="18"/>
              </w:rPr>
              <w:t>121,0</w:t>
            </w:r>
          </w:p>
        </w:tc>
      </w:tr>
    </w:tbl>
    <w:p w14:paraId="1E468714" w14:textId="77777777" w:rsidR="001B250D" w:rsidRDefault="001B250D">
      <w:pPr>
        <w:spacing w:after="0"/>
      </w:pPr>
    </w:p>
    <w:p w14:paraId="12B8CB88" w14:textId="77777777" w:rsidR="001B250D" w:rsidRDefault="00000000">
      <w:r>
        <w:t xml:space="preserve">Povećanje od 21 % posljedica je uvođenja dodatnih </w:t>
      </w:r>
      <w:proofErr w:type="spellStart"/>
      <w:r>
        <w:t>izvanbilančnih</w:t>
      </w:r>
      <w:proofErr w:type="spellEnd"/>
      <w:r>
        <w:t xml:space="preserve"> evidencija sukladno čl. 109 Pravilnika o proračunskom računovodstvu i računskom planu za preuzete obveze po ugovorima (1.708.291,87 eura) i za potraživanja po ugovorima o dodijeljenim bespovratnim sredstvima EU fondova  (926.875,60 eura) te kod proračunskog korisnika Festival Opatija evidentiranje tuđe imovine dobivene na korištenje u većem iznosu od 5.095.277,96 eura. Povećanje se bilježi i za primljena jamstva kao instrumenta osiguranja plaćanja kod ugovaranja zakupa.</w:t>
      </w:r>
    </w:p>
    <w:p w14:paraId="5664DBE6" w14:textId="77777777" w:rsidR="001B250D" w:rsidRDefault="001B250D"/>
    <w:p w14:paraId="7654E8EF" w14:textId="77777777" w:rsidR="001B250D" w:rsidRDefault="00000000">
      <w:pPr>
        <w:keepNext/>
        <w:spacing w:line="240" w:lineRule="auto"/>
        <w:jc w:val="center"/>
      </w:pPr>
      <w:r>
        <w:rPr>
          <w:b/>
          <w:sz w:val="28"/>
        </w:rPr>
        <w:lastRenderedPageBreak/>
        <w:t>Promjene u vrijednosti i obujmu imovine i obveza</w:t>
      </w:r>
    </w:p>
    <w:p w14:paraId="3279059F" w14:textId="77777777" w:rsidR="001B250D"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E3C70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D974B5"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5F3CB1"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A80C3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E9A9D8" w14:textId="77777777" w:rsidR="001B250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02593B8" w14:textId="77777777" w:rsidR="001B250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CA0C1EE" w14:textId="77777777" w:rsidR="001B250D" w:rsidRDefault="00000000">
            <w:pPr>
              <w:keepNext/>
              <w:keepLines/>
              <w:spacing w:after="0" w:line="240" w:lineRule="auto"/>
              <w:jc w:val="center"/>
            </w:pPr>
            <w:r>
              <w:rPr>
                <w:b/>
                <w:sz w:val="18"/>
              </w:rPr>
              <w:t>Indeks (%)</w:t>
            </w:r>
          </w:p>
        </w:tc>
      </w:tr>
      <w:tr w:rsidR="001B250D" w14:paraId="4CA1CF66" w14:textId="77777777">
        <w:tblPrEx>
          <w:tblCellMar>
            <w:top w:w="0" w:type="dxa"/>
            <w:bottom w:w="0" w:type="dxa"/>
          </w:tblCellMar>
        </w:tblPrEx>
        <w:trPr>
          <w:cantSplit/>
          <w:trHeight w:val="560"/>
        </w:trPr>
        <w:tc>
          <w:tcPr>
            <w:tcW w:w="700" w:type="dxa"/>
            <w:tcMar>
              <w:top w:w="0" w:type="dxa"/>
              <w:bottom w:w="0" w:type="dxa"/>
            </w:tcMar>
            <w:vAlign w:val="center"/>
          </w:tcPr>
          <w:p w14:paraId="3FC3EC30" w14:textId="77777777" w:rsidR="001B250D" w:rsidRDefault="00000000">
            <w:pPr>
              <w:keepNext/>
              <w:keepLines/>
              <w:spacing w:after="0" w:line="240" w:lineRule="auto"/>
            </w:pPr>
            <w:r>
              <w:rPr>
                <w:sz w:val="18"/>
              </w:rPr>
              <w:t>9151</w:t>
            </w:r>
          </w:p>
        </w:tc>
        <w:tc>
          <w:tcPr>
            <w:tcW w:w="3180" w:type="dxa"/>
            <w:tcMar>
              <w:top w:w="0" w:type="dxa"/>
              <w:bottom w:w="0" w:type="dxa"/>
            </w:tcMar>
            <w:vAlign w:val="center"/>
          </w:tcPr>
          <w:p w14:paraId="5A48D5F6" w14:textId="77777777" w:rsidR="001B250D" w:rsidRDefault="00000000">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3745271E" w14:textId="77777777" w:rsidR="001B250D" w:rsidRDefault="00000000">
            <w:pPr>
              <w:keepNext/>
              <w:keepLines/>
              <w:spacing w:after="0" w:line="240" w:lineRule="auto"/>
            </w:pPr>
            <w:r>
              <w:rPr>
                <w:sz w:val="18"/>
              </w:rPr>
              <w:t>9151</w:t>
            </w:r>
          </w:p>
        </w:tc>
        <w:tc>
          <w:tcPr>
            <w:tcW w:w="1860" w:type="dxa"/>
            <w:tcMar>
              <w:top w:w="0" w:type="dxa"/>
              <w:bottom w:w="0" w:type="dxa"/>
            </w:tcMar>
            <w:vAlign w:val="center"/>
          </w:tcPr>
          <w:p w14:paraId="72FA8130" w14:textId="77777777" w:rsidR="001B250D" w:rsidRDefault="00000000">
            <w:pPr>
              <w:keepNext/>
              <w:keepLines/>
              <w:spacing w:after="0" w:line="240" w:lineRule="auto"/>
              <w:jc w:val="right"/>
            </w:pPr>
            <w:r>
              <w:rPr>
                <w:sz w:val="18"/>
              </w:rPr>
              <w:t>3.592.132,83</w:t>
            </w:r>
          </w:p>
        </w:tc>
        <w:tc>
          <w:tcPr>
            <w:tcW w:w="1860" w:type="dxa"/>
            <w:tcMar>
              <w:top w:w="0" w:type="dxa"/>
              <w:bottom w:w="0" w:type="dxa"/>
            </w:tcMar>
            <w:vAlign w:val="center"/>
          </w:tcPr>
          <w:p w14:paraId="0F3AFFBB" w14:textId="77777777" w:rsidR="001B250D" w:rsidRDefault="00000000">
            <w:pPr>
              <w:keepNext/>
              <w:keepLines/>
              <w:spacing w:after="0" w:line="240" w:lineRule="auto"/>
              <w:jc w:val="right"/>
            </w:pPr>
            <w:r>
              <w:rPr>
                <w:sz w:val="18"/>
              </w:rPr>
              <w:t>3.736.125,46</w:t>
            </w:r>
          </w:p>
        </w:tc>
        <w:tc>
          <w:tcPr>
            <w:tcW w:w="700" w:type="dxa"/>
            <w:tcMar>
              <w:top w:w="0" w:type="dxa"/>
              <w:bottom w:w="0" w:type="dxa"/>
            </w:tcMar>
            <w:vAlign w:val="center"/>
          </w:tcPr>
          <w:p w14:paraId="657174FC" w14:textId="77777777" w:rsidR="001B250D" w:rsidRDefault="00000000">
            <w:pPr>
              <w:keepNext/>
              <w:keepLines/>
              <w:spacing w:after="0" w:line="240" w:lineRule="auto"/>
              <w:jc w:val="right"/>
            </w:pPr>
            <w:r>
              <w:rPr>
                <w:sz w:val="18"/>
              </w:rPr>
              <w:t>104,0</w:t>
            </w:r>
          </w:p>
        </w:tc>
      </w:tr>
    </w:tbl>
    <w:p w14:paraId="769E4C73" w14:textId="77777777" w:rsidR="001B250D" w:rsidRDefault="001B250D">
      <w:pPr>
        <w:spacing w:after="0"/>
      </w:pPr>
    </w:p>
    <w:p w14:paraId="31E7D429" w14:textId="77777777" w:rsidR="001B250D" w:rsidRDefault="00000000">
      <w:r>
        <w:t>U obrascu su iskazane promjene u vrijednosti i obujmu imovine i obveza koje nisu rezultat financijskih aktivnosti, odnosno prihoda, rashoda i novčanog tijeka. </w:t>
      </w:r>
    </w:p>
    <w:p w14:paraId="25C2F074" w14:textId="77777777" w:rsidR="001B250D" w:rsidRDefault="001B250D"/>
    <w:p w14:paraId="428F5786" w14:textId="77777777" w:rsidR="001B250D"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35BE9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1D912A"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56B7CC"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5E825"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37C7E2" w14:textId="77777777" w:rsidR="001B250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9FBE711" w14:textId="77777777" w:rsidR="001B250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FDC5956" w14:textId="77777777" w:rsidR="001B250D" w:rsidRDefault="00000000">
            <w:pPr>
              <w:keepNext/>
              <w:keepLines/>
              <w:spacing w:after="0" w:line="240" w:lineRule="auto"/>
              <w:jc w:val="center"/>
            </w:pPr>
            <w:r>
              <w:rPr>
                <w:b/>
                <w:sz w:val="18"/>
              </w:rPr>
              <w:t>Indeks (%)</w:t>
            </w:r>
          </w:p>
        </w:tc>
      </w:tr>
      <w:tr w:rsidR="001B250D" w14:paraId="02A0BB81" w14:textId="77777777">
        <w:tblPrEx>
          <w:tblCellMar>
            <w:top w:w="0" w:type="dxa"/>
            <w:bottom w:w="0" w:type="dxa"/>
          </w:tblCellMar>
        </w:tblPrEx>
        <w:trPr>
          <w:cantSplit/>
          <w:trHeight w:val="560"/>
        </w:trPr>
        <w:tc>
          <w:tcPr>
            <w:tcW w:w="700" w:type="dxa"/>
            <w:tcMar>
              <w:top w:w="0" w:type="dxa"/>
              <w:bottom w:w="0" w:type="dxa"/>
            </w:tcMar>
            <w:vAlign w:val="center"/>
          </w:tcPr>
          <w:p w14:paraId="482406E1" w14:textId="77777777" w:rsidR="001B250D" w:rsidRDefault="001B250D">
            <w:pPr>
              <w:keepNext/>
              <w:keepLines/>
              <w:spacing w:after="0" w:line="240" w:lineRule="auto"/>
            </w:pPr>
          </w:p>
        </w:tc>
        <w:tc>
          <w:tcPr>
            <w:tcW w:w="3180" w:type="dxa"/>
            <w:tcMar>
              <w:top w:w="0" w:type="dxa"/>
              <w:bottom w:w="0" w:type="dxa"/>
            </w:tcMar>
            <w:vAlign w:val="center"/>
          </w:tcPr>
          <w:p w14:paraId="2928B730" w14:textId="77777777" w:rsidR="001B250D" w:rsidRDefault="00000000">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1A0870ED" w14:textId="77777777" w:rsidR="001B250D" w:rsidRDefault="00000000">
            <w:pPr>
              <w:keepNext/>
              <w:keepLines/>
              <w:spacing w:after="0" w:line="240" w:lineRule="auto"/>
            </w:pPr>
            <w:r>
              <w:rPr>
                <w:sz w:val="18"/>
              </w:rPr>
              <w:t>P001</w:t>
            </w:r>
          </w:p>
        </w:tc>
        <w:tc>
          <w:tcPr>
            <w:tcW w:w="1860" w:type="dxa"/>
            <w:tcMar>
              <w:top w:w="0" w:type="dxa"/>
              <w:bottom w:w="0" w:type="dxa"/>
            </w:tcMar>
            <w:vAlign w:val="center"/>
          </w:tcPr>
          <w:p w14:paraId="50E0E852"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5F3D82C8" w14:textId="77777777" w:rsidR="001B250D" w:rsidRDefault="00000000">
            <w:pPr>
              <w:keepNext/>
              <w:keepLines/>
              <w:spacing w:after="0" w:line="240" w:lineRule="auto"/>
              <w:jc w:val="right"/>
            </w:pPr>
            <w:r>
              <w:rPr>
                <w:sz w:val="18"/>
              </w:rPr>
              <w:t>2.876.367,35</w:t>
            </w:r>
          </w:p>
        </w:tc>
        <w:tc>
          <w:tcPr>
            <w:tcW w:w="700" w:type="dxa"/>
            <w:tcMar>
              <w:top w:w="0" w:type="dxa"/>
              <w:bottom w:w="0" w:type="dxa"/>
            </w:tcMar>
            <w:vAlign w:val="center"/>
          </w:tcPr>
          <w:p w14:paraId="55CF0933" w14:textId="77777777" w:rsidR="001B250D" w:rsidRDefault="00000000">
            <w:pPr>
              <w:keepNext/>
              <w:keepLines/>
              <w:spacing w:after="0" w:line="240" w:lineRule="auto"/>
              <w:jc w:val="right"/>
            </w:pPr>
            <w:r>
              <w:rPr>
                <w:sz w:val="18"/>
              </w:rPr>
              <w:t>-</w:t>
            </w:r>
          </w:p>
        </w:tc>
      </w:tr>
    </w:tbl>
    <w:p w14:paraId="6B45EC66" w14:textId="77777777" w:rsidR="001B250D" w:rsidRDefault="001B250D">
      <w:pPr>
        <w:spacing w:after="0"/>
      </w:pPr>
    </w:p>
    <w:p w14:paraId="748AE929" w14:textId="77777777" w:rsidR="001B250D" w:rsidRDefault="00000000">
      <w:r>
        <w:t xml:space="preserve">Smanjenje vrijednosti </w:t>
      </w:r>
      <w:proofErr w:type="spellStart"/>
      <w:r>
        <w:t>neproizvedene</w:t>
      </w:r>
      <w:proofErr w:type="spellEnd"/>
      <w:r>
        <w:t xml:space="preserve"> dugotrajne imovine bilježi propisan godišnji ispravak vrijednosti imovine.</w:t>
      </w:r>
    </w:p>
    <w:p w14:paraId="101FAE3A" w14:textId="77777777" w:rsidR="001B250D" w:rsidRDefault="001B250D"/>
    <w:p w14:paraId="2A6BA2F1" w14:textId="77777777" w:rsidR="001B250D"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18F18D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56B00B"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AC948C"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BB71F"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3CE832" w14:textId="77777777" w:rsidR="001B250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AA48806" w14:textId="77777777" w:rsidR="001B250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503416B" w14:textId="77777777" w:rsidR="001B250D" w:rsidRDefault="00000000">
            <w:pPr>
              <w:keepNext/>
              <w:keepLines/>
              <w:spacing w:after="0" w:line="240" w:lineRule="auto"/>
              <w:jc w:val="center"/>
            </w:pPr>
            <w:r>
              <w:rPr>
                <w:b/>
                <w:sz w:val="18"/>
              </w:rPr>
              <w:t>Indeks (%)</w:t>
            </w:r>
          </w:p>
        </w:tc>
      </w:tr>
      <w:tr w:rsidR="001B250D" w14:paraId="71A1352F" w14:textId="77777777">
        <w:tblPrEx>
          <w:tblCellMar>
            <w:top w:w="0" w:type="dxa"/>
            <w:bottom w:w="0" w:type="dxa"/>
          </w:tblCellMar>
        </w:tblPrEx>
        <w:trPr>
          <w:cantSplit/>
          <w:trHeight w:val="560"/>
        </w:trPr>
        <w:tc>
          <w:tcPr>
            <w:tcW w:w="700" w:type="dxa"/>
            <w:tcMar>
              <w:top w:w="0" w:type="dxa"/>
              <w:bottom w:w="0" w:type="dxa"/>
            </w:tcMar>
            <w:vAlign w:val="center"/>
          </w:tcPr>
          <w:p w14:paraId="05D3E2D0" w14:textId="77777777" w:rsidR="001B250D" w:rsidRDefault="001B250D">
            <w:pPr>
              <w:keepNext/>
              <w:keepLines/>
              <w:spacing w:after="0" w:line="240" w:lineRule="auto"/>
            </w:pPr>
          </w:p>
        </w:tc>
        <w:tc>
          <w:tcPr>
            <w:tcW w:w="3180" w:type="dxa"/>
            <w:tcMar>
              <w:top w:w="0" w:type="dxa"/>
              <w:bottom w:w="0" w:type="dxa"/>
            </w:tcMar>
            <w:vAlign w:val="center"/>
          </w:tcPr>
          <w:p w14:paraId="2CB1004F" w14:textId="77777777" w:rsidR="001B250D"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1D6599C3" w14:textId="77777777" w:rsidR="001B250D" w:rsidRDefault="00000000">
            <w:pPr>
              <w:keepNext/>
              <w:keepLines/>
              <w:spacing w:after="0" w:line="240" w:lineRule="auto"/>
            </w:pPr>
            <w:r>
              <w:rPr>
                <w:sz w:val="18"/>
              </w:rPr>
              <w:t>P017</w:t>
            </w:r>
          </w:p>
        </w:tc>
        <w:tc>
          <w:tcPr>
            <w:tcW w:w="1860" w:type="dxa"/>
            <w:tcMar>
              <w:top w:w="0" w:type="dxa"/>
              <w:bottom w:w="0" w:type="dxa"/>
            </w:tcMar>
            <w:vAlign w:val="center"/>
          </w:tcPr>
          <w:p w14:paraId="5DC8971E" w14:textId="77777777" w:rsidR="001B250D" w:rsidRDefault="00000000">
            <w:pPr>
              <w:keepNext/>
              <w:keepLines/>
              <w:spacing w:after="0" w:line="240" w:lineRule="auto"/>
              <w:jc w:val="right"/>
            </w:pPr>
            <w:r>
              <w:rPr>
                <w:sz w:val="18"/>
              </w:rPr>
              <w:t>3.098.168,86</w:t>
            </w:r>
          </w:p>
        </w:tc>
        <w:tc>
          <w:tcPr>
            <w:tcW w:w="1860" w:type="dxa"/>
            <w:tcMar>
              <w:top w:w="0" w:type="dxa"/>
              <w:bottom w:w="0" w:type="dxa"/>
            </w:tcMar>
            <w:vAlign w:val="center"/>
          </w:tcPr>
          <w:p w14:paraId="735A4C76" w14:textId="77777777" w:rsidR="001B250D" w:rsidRDefault="00000000">
            <w:pPr>
              <w:keepNext/>
              <w:keepLines/>
              <w:spacing w:after="0" w:line="240" w:lineRule="auto"/>
              <w:jc w:val="right"/>
            </w:pPr>
            <w:r>
              <w:rPr>
                <w:sz w:val="18"/>
              </w:rPr>
              <w:t>522.540,00</w:t>
            </w:r>
          </w:p>
        </w:tc>
        <w:tc>
          <w:tcPr>
            <w:tcW w:w="700" w:type="dxa"/>
            <w:tcMar>
              <w:top w:w="0" w:type="dxa"/>
              <w:bottom w:w="0" w:type="dxa"/>
            </w:tcMar>
            <w:vAlign w:val="center"/>
          </w:tcPr>
          <w:p w14:paraId="6A3440A7" w14:textId="77777777" w:rsidR="001B250D" w:rsidRDefault="00000000">
            <w:pPr>
              <w:keepNext/>
              <w:keepLines/>
              <w:spacing w:after="0" w:line="240" w:lineRule="auto"/>
              <w:jc w:val="right"/>
            </w:pPr>
            <w:r>
              <w:rPr>
                <w:sz w:val="18"/>
              </w:rPr>
              <w:t>16,9</w:t>
            </w:r>
          </w:p>
        </w:tc>
      </w:tr>
    </w:tbl>
    <w:p w14:paraId="50824934" w14:textId="77777777" w:rsidR="001B250D" w:rsidRDefault="001B250D">
      <w:pPr>
        <w:spacing w:after="0"/>
      </w:pPr>
    </w:p>
    <w:p w14:paraId="313F36EB" w14:textId="77777777" w:rsidR="001B250D" w:rsidRDefault="00000000">
      <w:r>
        <w:t xml:space="preserve">Do povećanja obujma </w:t>
      </w:r>
      <w:proofErr w:type="spellStart"/>
      <w:r>
        <w:t>neproizvedene</w:t>
      </w:r>
      <w:proofErr w:type="spellEnd"/>
      <w:r>
        <w:t xml:space="preserve"> dugotrajne imovine dolazi zbog uknjiženja zemljišta temeljem provedenih parcelacija, novih izmjera, a do smanjenja obujma ove imovine dolazi zbog </w:t>
      </w:r>
      <w:proofErr w:type="spellStart"/>
      <w:r>
        <w:t>isknjiženja</w:t>
      </w:r>
      <w:proofErr w:type="spellEnd"/>
      <w:r>
        <w:t xml:space="preserve"> zemljišta temeljem provedenih parcelacija, novih izmjera, prijenosa prava vlasništva te ostalih usklađenja.</w:t>
      </w:r>
    </w:p>
    <w:p w14:paraId="612AA5D8" w14:textId="77777777" w:rsidR="001B250D" w:rsidRDefault="001B250D"/>
    <w:p w14:paraId="3C292C75" w14:textId="77777777" w:rsidR="001B250D"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0A68BA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B47F1"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3AE4F"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2EAA8"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5126B2" w14:textId="77777777" w:rsidR="001B250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D463149" w14:textId="77777777" w:rsidR="001B250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8DDA752" w14:textId="77777777" w:rsidR="001B250D" w:rsidRDefault="00000000">
            <w:pPr>
              <w:keepNext/>
              <w:keepLines/>
              <w:spacing w:after="0" w:line="240" w:lineRule="auto"/>
              <w:jc w:val="center"/>
            </w:pPr>
            <w:r>
              <w:rPr>
                <w:b/>
                <w:sz w:val="18"/>
              </w:rPr>
              <w:t>Indeks (%)</w:t>
            </w:r>
          </w:p>
        </w:tc>
      </w:tr>
      <w:tr w:rsidR="001B250D" w14:paraId="18049FBE" w14:textId="77777777">
        <w:tblPrEx>
          <w:tblCellMar>
            <w:top w:w="0" w:type="dxa"/>
            <w:bottom w:w="0" w:type="dxa"/>
          </w:tblCellMar>
        </w:tblPrEx>
        <w:trPr>
          <w:cantSplit/>
          <w:trHeight w:val="560"/>
        </w:trPr>
        <w:tc>
          <w:tcPr>
            <w:tcW w:w="700" w:type="dxa"/>
            <w:tcMar>
              <w:top w:w="0" w:type="dxa"/>
              <w:bottom w:w="0" w:type="dxa"/>
            </w:tcMar>
            <w:vAlign w:val="center"/>
          </w:tcPr>
          <w:p w14:paraId="6EC96AD1" w14:textId="77777777" w:rsidR="001B250D" w:rsidRDefault="001B250D">
            <w:pPr>
              <w:keepNext/>
              <w:keepLines/>
              <w:spacing w:after="0" w:line="240" w:lineRule="auto"/>
            </w:pPr>
          </w:p>
        </w:tc>
        <w:tc>
          <w:tcPr>
            <w:tcW w:w="3180" w:type="dxa"/>
            <w:tcMar>
              <w:top w:w="0" w:type="dxa"/>
              <w:bottom w:w="0" w:type="dxa"/>
            </w:tcMar>
            <w:vAlign w:val="center"/>
          </w:tcPr>
          <w:p w14:paraId="4013CB96" w14:textId="77777777" w:rsidR="001B250D"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5276167A" w14:textId="77777777" w:rsidR="001B250D" w:rsidRDefault="00000000">
            <w:pPr>
              <w:keepNext/>
              <w:keepLines/>
              <w:spacing w:after="0" w:line="240" w:lineRule="auto"/>
            </w:pPr>
            <w:r>
              <w:rPr>
                <w:sz w:val="18"/>
              </w:rPr>
              <w:t>P018</w:t>
            </w:r>
          </w:p>
        </w:tc>
        <w:tc>
          <w:tcPr>
            <w:tcW w:w="1860" w:type="dxa"/>
            <w:tcMar>
              <w:top w:w="0" w:type="dxa"/>
              <w:bottom w:w="0" w:type="dxa"/>
            </w:tcMar>
            <w:vAlign w:val="center"/>
          </w:tcPr>
          <w:p w14:paraId="1749301F" w14:textId="77777777" w:rsidR="001B250D" w:rsidRDefault="00000000">
            <w:pPr>
              <w:keepNext/>
              <w:keepLines/>
              <w:spacing w:after="0" w:line="240" w:lineRule="auto"/>
              <w:jc w:val="right"/>
            </w:pPr>
            <w:r>
              <w:rPr>
                <w:sz w:val="18"/>
              </w:rPr>
              <w:t>63.962,81</w:t>
            </w:r>
          </w:p>
        </w:tc>
        <w:tc>
          <w:tcPr>
            <w:tcW w:w="1860" w:type="dxa"/>
            <w:tcMar>
              <w:top w:w="0" w:type="dxa"/>
              <w:bottom w:w="0" w:type="dxa"/>
            </w:tcMar>
            <w:vAlign w:val="center"/>
          </w:tcPr>
          <w:p w14:paraId="6DC7DB04" w14:textId="77777777" w:rsidR="001B250D" w:rsidRDefault="00000000">
            <w:pPr>
              <w:keepNext/>
              <w:keepLines/>
              <w:spacing w:after="0" w:line="240" w:lineRule="auto"/>
              <w:jc w:val="right"/>
            </w:pPr>
            <w:r>
              <w:rPr>
                <w:sz w:val="18"/>
              </w:rPr>
              <w:t>23.209,06</w:t>
            </w:r>
          </w:p>
        </w:tc>
        <w:tc>
          <w:tcPr>
            <w:tcW w:w="700" w:type="dxa"/>
            <w:tcMar>
              <w:top w:w="0" w:type="dxa"/>
              <w:bottom w:w="0" w:type="dxa"/>
            </w:tcMar>
            <w:vAlign w:val="center"/>
          </w:tcPr>
          <w:p w14:paraId="272A2CC7" w14:textId="77777777" w:rsidR="001B250D" w:rsidRDefault="00000000">
            <w:pPr>
              <w:keepNext/>
              <w:keepLines/>
              <w:spacing w:after="0" w:line="240" w:lineRule="auto"/>
              <w:jc w:val="right"/>
            </w:pPr>
            <w:r>
              <w:rPr>
                <w:sz w:val="18"/>
              </w:rPr>
              <w:t>36,3</w:t>
            </w:r>
          </w:p>
        </w:tc>
      </w:tr>
    </w:tbl>
    <w:p w14:paraId="04710083" w14:textId="77777777" w:rsidR="001B250D" w:rsidRDefault="001B250D">
      <w:pPr>
        <w:spacing w:after="0"/>
      </w:pPr>
    </w:p>
    <w:p w14:paraId="7E2D55D0" w14:textId="77777777" w:rsidR="001B250D" w:rsidRDefault="00000000">
      <w:r>
        <w:t>Do povećanja obujma ove imovine dolazi zbog evidentiranja ulaganja u gradsku imovinu od strane poslovnog subjekta kojem je ta imovina dana na korištenje.</w:t>
      </w:r>
    </w:p>
    <w:p w14:paraId="2C41FD8E" w14:textId="77777777" w:rsidR="001B250D" w:rsidRDefault="001B250D"/>
    <w:p w14:paraId="7AA90720" w14:textId="77777777" w:rsidR="001B250D"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57E6E2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834EF6"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79026A"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5E8E8C"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8F7C3B" w14:textId="77777777" w:rsidR="001B250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79DC883" w14:textId="77777777" w:rsidR="001B250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B2224B4" w14:textId="77777777" w:rsidR="001B250D" w:rsidRDefault="00000000">
            <w:pPr>
              <w:keepNext/>
              <w:keepLines/>
              <w:spacing w:after="0" w:line="240" w:lineRule="auto"/>
              <w:jc w:val="center"/>
            </w:pPr>
            <w:r>
              <w:rPr>
                <w:b/>
                <w:sz w:val="18"/>
              </w:rPr>
              <w:t>Indeks (%)</w:t>
            </w:r>
          </w:p>
        </w:tc>
      </w:tr>
      <w:tr w:rsidR="001B250D" w14:paraId="0C178910" w14:textId="77777777">
        <w:tblPrEx>
          <w:tblCellMar>
            <w:top w:w="0" w:type="dxa"/>
            <w:bottom w:w="0" w:type="dxa"/>
          </w:tblCellMar>
        </w:tblPrEx>
        <w:trPr>
          <w:cantSplit/>
          <w:trHeight w:val="560"/>
        </w:trPr>
        <w:tc>
          <w:tcPr>
            <w:tcW w:w="700" w:type="dxa"/>
            <w:tcMar>
              <w:top w:w="0" w:type="dxa"/>
              <w:bottom w:w="0" w:type="dxa"/>
            </w:tcMar>
            <w:vAlign w:val="center"/>
          </w:tcPr>
          <w:p w14:paraId="4F899C62" w14:textId="77777777" w:rsidR="001B250D" w:rsidRDefault="001B250D">
            <w:pPr>
              <w:keepNext/>
              <w:keepLines/>
              <w:spacing w:after="0" w:line="240" w:lineRule="auto"/>
            </w:pPr>
          </w:p>
        </w:tc>
        <w:tc>
          <w:tcPr>
            <w:tcW w:w="3180" w:type="dxa"/>
            <w:tcMar>
              <w:top w:w="0" w:type="dxa"/>
              <w:bottom w:w="0" w:type="dxa"/>
            </w:tcMar>
            <w:vAlign w:val="center"/>
          </w:tcPr>
          <w:p w14:paraId="6D413031" w14:textId="77777777" w:rsidR="001B250D" w:rsidRDefault="00000000">
            <w:pPr>
              <w:keepNext/>
              <w:keepLines/>
              <w:spacing w:after="0" w:line="240" w:lineRule="auto"/>
            </w:pPr>
            <w:r>
              <w:rPr>
                <w:sz w:val="18"/>
              </w:rPr>
              <w:t>Financijski instrumenti - dionice i udjeli u glavnici</w:t>
            </w:r>
          </w:p>
        </w:tc>
        <w:tc>
          <w:tcPr>
            <w:tcW w:w="700" w:type="dxa"/>
            <w:tcMar>
              <w:top w:w="0" w:type="dxa"/>
              <w:bottom w:w="0" w:type="dxa"/>
            </w:tcMar>
            <w:vAlign w:val="center"/>
          </w:tcPr>
          <w:p w14:paraId="78E2CAC6" w14:textId="77777777" w:rsidR="001B250D" w:rsidRDefault="00000000">
            <w:pPr>
              <w:keepNext/>
              <w:keepLines/>
              <w:spacing w:after="0" w:line="240" w:lineRule="auto"/>
            </w:pPr>
            <w:r>
              <w:rPr>
                <w:sz w:val="18"/>
              </w:rPr>
              <w:t>P028</w:t>
            </w:r>
          </w:p>
        </w:tc>
        <w:tc>
          <w:tcPr>
            <w:tcW w:w="1860" w:type="dxa"/>
            <w:tcMar>
              <w:top w:w="0" w:type="dxa"/>
              <w:bottom w:w="0" w:type="dxa"/>
            </w:tcMar>
            <w:vAlign w:val="center"/>
          </w:tcPr>
          <w:p w14:paraId="2F89FB40" w14:textId="77777777" w:rsidR="001B250D" w:rsidRDefault="00000000">
            <w:pPr>
              <w:keepNext/>
              <w:keepLines/>
              <w:spacing w:after="0" w:line="240" w:lineRule="auto"/>
              <w:jc w:val="right"/>
            </w:pPr>
            <w:r>
              <w:rPr>
                <w:sz w:val="18"/>
              </w:rPr>
              <w:t>430.000,00</w:t>
            </w:r>
          </w:p>
        </w:tc>
        <w:tc>
          <w:tcPr>
            <w:tcW w:w="1860" w:type="dxa"/>
            <w:tcMar>
              <w:top w:w="0" w:type="dxa"/>
              <w:bottom w:w="0" w:type="dxa"/>
            </w:tcMar>
            <w:vAlign w:val="center"/>
          </w:tcPr>
          <w:p w14:paraId="5B78A0B0" w14:textId="77777777" w:rsidR="001B250D" w:rsidRDefault="00000000">
            <w:pPr>
              <w:keepNext/>
              <w:keepLines/>
              <w:spacing w:after="0" w:line="240" w:lineRule="auto"/>
              <w:jc w:val="right"/>
            </w:pPr>
            <w:r>
              <w:rPr>
                <w:sz w:val="18"/>
              </w:rPr>
              <w:t>0,00</w:t>
            </w:r>
          </w:p>
        </w:tc>
        <w:tc>
          <w:tcPr>
            <w:tcW w:w="700" w:type="dxa"/>
            <w:tcMar>
              <w:top w:w="0" w:type="dxa"/>
              <w:bottom w:w="0" w:type="dxa"/>
            </w:tcMar>
            <w:vAlign w:val="center"/>
          </w:tcPr>
          <w:p w14:paraId="3DB962FE" w14:textId="77777777" w:rsidR="001B250D" w:rsidRDefault="00000000">
            <w:pPr>
              <w:keepNext/>
              <w:keepLines/>
              <w:spacing w:after="0" w:line="240" w:lineRule="auto"/>
              <w:jc w:val="right"/>
            </w:pPr>
            <w:r>
              <w:rPr>
                <w:sz w:val="18"/>
              </w:rPr>
              <w:t>0</w:t>
            </w:r>
          </w:p>
        </w:tc>
      </w:tr>
    </w:tbl>
    <w:p w14:paraId="7DF1D5AB" w14:textId="77777777" w:rsidR="001B250D" w:rsidRDefault="001B250D">
      <w:pPr>
        <w:spacing w:after="0"/>
      </w:pPr>
    </w:p>
    <w:p w14:paraId="419EFD6D" w14:textId="77777777" w:rsidR="001B250D" w:rsidRDefault="00000000">
      <w:r>
        <w:t>Povećanje udjela u glavnici trgovačkog društva u javnom sektoru nastao je na osnovu Sporazuma o uređenju imovinskopravnih odnosa za zemljište na k.č.5/1, k.o. Ičići. </w:t>
      </w:r>
    </w:p>
    <w:p w14:paraId="0B6D25A1" w14:textId="77777777" w:rsidR="001B250D" w:rsidRDefault="001B250D"/>
    <w:p w14:paraId="75493B98" w14:textId="77777777" w:rsidR="001B250D"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250D" w14:paraId="4179E2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03992"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2D598C"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D142F3"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23E1E" w14:textId="77777777" w:rsidR="001B250D"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15D693" w14:textId="77777777" w:rsidR="001B250D"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DD5786E" w14:textId="77777777" w:rsidR="001B250D" w:rsidRDefault="00000000">
            <w:pPr>
              <w:keepNext/>
              <w:keepLines/>
              <w:spacing w:after="0" w:line="240" w:lineRule="auto"/>
              <w:jc w:val="center"/>
            </w:pPr>
            <w:r>
              <w:rPr>
                <w:b/>
                <w:sz w:val="18"/>
              </w:rPr>
              <w:t>Indeks (%)</w:t>
            </w:r>
          </w:p>
        </w:tc>
      </w:tr>
      <w:tr w:rsidR="001B250D" w14:paraId="3BAEFE16" w14:textId="77777777">
        <w:tblPrEx>
          <w:tblCellMar>
            <w:top w:w="0" w:type="dxa"/>
            <w:bottom w:w="0" w:type="dxa"/>
          </w:tblCellMar>
        </w:tblPrEx>
        <w:trPr>
          <w:cantSplit/>
          <w:trHeight w:val="560"/>
        </w:trPr>
        <w:tc>
          <w:tcPr>
            <w:tcW w:w="700" w:type="dxa"/>
            <w:tcMar>
              <w:top w:w="0" w:type="dxa"/>
              <w:bottom w:w="0" w:type="dxa"/>
            </w:tcMar>
            <w:vAlign w:val="center"/>
          </w:tcPr>
          <w:p w14:paraId="7BE722A7" w14:textId="77777777" w:rsidR="001B250D" w:rsidRDefault="001B250D">
            <w:pPr>
              <w:keepNext/>
              <w:keepLines/>
              <w:spacing w:after="0" w:line="240" w:lineRule="auto"/>
            </w:pPr>
          </w:p>
        </w:tc>
        <w:tc>
          <w:tcPr>
            <w:tcW w:w="3180" w:type="dxa"/>
            <w:tcMar>
              <w:top w:w="0" w:type="dxa"/>
              <w:bottom w:w="0" w:type="dxa"/>
            </w:tcMar>
            <w:vAlign w:val="center"/>
          </w:tcPr>
          <w:p w14:paraId="6D294AFD" w14:textId="77777777" w:rsidR="001B250D" w:rsidRDefault="00000000">
            <w:pPr>
              <w:keepNext/>
              <w:keepLines/>
              <w:spacing w:after="0" w:line="240" w:lineRule="auto"/>
            </w:pPr>
            <w:r>
              <w:rPr>
                <w:sz w:val="18"/>
              </w:rPr>
              <w:t>Potraživanja za prihode poslovanja</w:t>
            </w:r>
          </w:p>
        </w:tc>
        <w:tc>
          <w:tcPr>
            <w:tcW w:w="700" w:type="dxa"/>
            <w:tcMar>
              <w:top w:w="0" w:type="dxa"/>
              <w:bottom w:w="0" w:type="dxa"/>
            </w:tcMar>
            <w:vAlign w:val="center"/>
          </w:tcPr>
          <w:p w14:paraId="642EC285" w14:textId="77777777" w:rsidR="001B250D" w:rsidRDefault="00000000">
            <w:pPr>
              <w:keepNext/>
              <w:keepLines/>
              <w:spacing w:after="0" w:line="240" w:lineRule="auto"/>
            </w:pPr>
            <w:r>
              <w:rPr>
                <w:sz w:val="18"/>
              </w:rPr>
              <w:t>P029</w:t>
            </w:r>
          </w:p>
        </w:tc>
        <w:tc>
          <w:tcPr>
            <w:tcW w:w="1860" w:type="dxa"/>
            <w:tcMar>
              <w:top w:w="0" w:type="dxa"/>
              <w:bottom w:w="0" w:type="dxa"/>
            </w:tcMar>
            <w:vAlign w:val="center"/>
          </w:tcPr>
          <w:p w14:paraId="70E956D5" w14:textId="77777777" w:rsidR="001B250D" w:rsidRDefault="00000000">
            <w:pPr>
              <w:keepNext/>
              <w:keepLines/>
              <w:spacing w:after="0" w:line="240" w:lineRule="auto"/>
              <w:jc w:val="right"/>
            </w:pPr>
            <w:r>
              <w:rPr>
                <w:sz w:val="18"/>
              </w:rPr>
              <w:t>0,00</w:t>
            </w:r>
          </w:p>
        </w:tc>
        <w:tc>
          <w:tcPr>
            <w:tcW w:w="1860" w:type="dxa"/>
            <w:tcMar>
              <w:top w:w="0" w:type="dxa"/>
              <w:bottom w:w="0" w:type="dxa"/>
            </w:tcMar>
            <w:vAlign w:val="center"/>
          </w:tcPr>
          <w:p w14:paraId="42B52682" w14:textId="77777777" w:rsidR="001B250D" w:rsidRDefault="00000000">
            <w:pPr>
              <w:keepNext/>
              <w:keepLines/>
              <w:spacing w:after="0" w:line="240" w:lineRule="auto"/>
              <w:jc w:val="right"/>
            </w:pPr>
            <w:r>
              <w:rPr>
                <w:sz w:val="18"/>
              </w:rPr>
              <w:t>314.009,05</w:t>
            </w:r>
          </w:p>
        </w:tc>
        <w:tc>
          <w:tcPr>
            <w:tcW w:w="700" w:type="dxa"/>
            <w:tcMar>
              <w:top w:w="0" w:type="dxa"/>
              <w:bottom w:w="0" w:type="dxa"/>
            </w:tcMar>
            <w:vAlign w:val="center"/>
          </w:tcPr>
          <w:p w14:paraId="3A933041" w14:textId="77777777" w:rsidR="001B250D" w:rsidRDefault="00000000">
            <w:pPr>
              <w:keepNext/>
              <w:keepLines/>
              <w:spacing w:after="0" w:line="240" w:lineRule="auto"/>
              <w:jc w:val="right"/>
            </w:pPr>
            <w:r>
              <w:rPr>
                <w:sz w:val="18"/>
              </w:rPr>
              <w:t>-</w:t>
            </w:r>
          </w:p>
        </w:tc>
      </w:tr>
    </w:tbl>
    <w:p w14:paraId="43566EFA" w14:textId="77777777" w:rsidR="001B250D" w:rsidRDefault="001B250D">
      <w:pPr>
        <w:spacing w:after="0"/>
      </w:pPr>
    </w:p>
    <w:p w14:paraId="65EC569E" w14:textId="77777777" w:rsidR="001B250D" w:rsidRDefault="00000000">
      <w:r>
        <w:t>Do smanjenja obujma ovih potraživanja došlo je temeljem obračunatih popusta za potraživanja za komunalne doprinose i naknade te potraživanja za prihode od nefinancijske imovine.</w:t>
      </w:r>
    </w:p>
    <w:p w14:paraId="36C3D785" w14:textId="77777777" w:rsidR="001B250D" w:rsidRDefault="001B250D"/>
    <w:p w14:paraId="122FE748" w14:textId="77777777" w:rsidR="001B250D" w:rsidRDefault="00000000">
      <w:pPr>
        <w:keepNext/>
        <w:spacing w:line="240" w:lineRule="auto"/>
        <w:jc w:val="center"/>
      </w:pPr>
      <w:r>
        <w:rPr>
          <w:b/>
          <w:sz w:val="28"/>
        </w:rPr>
        <w:t>Izvještaj o obvezama</w:t>
      </w:r>
    </w:p>
    <w:p w14:paraId="52C86017" w14:textId="77777777" w:rsidR="001B250D"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B250D" w14:paraId="3EA19E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1B2F44" w14:textId="77777777" w:rsidR="001B250D"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F12688" w14:textId="77777777" w:rsidR="001B250D"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601FB9" w14:textId="77777777" w:rsidR="001B250D"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ADE0C2" w14:textId="77777777" w:rsidR="001B250D"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94698A" w14:textId="77777777" w:rsidR="001B250D" w:rsidRDefault="00000000">
            <w:pPr>
              <w:keepNext/>
              <w:keepLines/>
              <w:spacing w:after="0" w:line="240" w:lineRule="auto"/>
              <w:jc w:val="center"/>
            </w:pPr>
            <w:r>
              <w:rPr>
                <w:b/>
                <w:sz w:val="18"/>
              </w:rPr>
              <w:t>Indeks (%)</w:t>
            </w:r>
          </w:p>
        </w:tc>
      </w:tr>
      <w:tr w:rsidR="001B250D" w14:paraId="72AA72FE" w14:textId="77777777">
        <w:tblPrEx>
          <w:tblCellMar>
            <w:top w:w="0" w:type="dxa"/>
            <w:bottom w:w="0" w:type="dxa"/>
          </w:tblCellMar>
        </w:tblPrEx>
        <w:trPr>
          <w:cantSplit/>
          <w:trHeight w:val="560"/>
        </w:trPr>
        <w:tc>
          <w:tcPr>
            <w:tcW w:w="700" w:type="dxa"/>
            <w:tcMar>
              <w:top w:w="0" w:type="dxa"/>
              <w:bottom w:w="0" w:type="dxa"/>
            </w:tcMar>
            <w:vAlign w:val="center"/>
          </w:tcPr>
          <w:p w14:paraId="595376B3" w14:textId="77777777" w:rsidR="001B250D" w:rsidRDefault="001B250D">
            <w:pPr>
              <w:keepNext/>
              <w:keepLines/>
              <w:spacing w:after="0" w:line="240" w:lineRule="auto"/>
            </w:pPr>
          </w:p>
        </w:tc>
        <w:tc>
          <w:tcPr>
            <w:tcW w:w="3180" w:type="dxa"/>
            <w:tcMar>
              <w:top w:w="0" w:type="dxa"/>
              <w:bottom w:w="0" w:type="dxa"/>
            </w:tcMar>
            <w:vAlign w:val="center"/>
          </w:tcPr>
          <w:p w14:paraId="71FD9A26" w14:textId="77777777" w:rsidR="001B250D"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90F9DF1" w14:textId="77777777" w:rsidR="001B250D" w:rsidRDefault="00000000">
            <w:pPr>
              <w:keepNext/>
              <w:keepLines/>
              <w:spacing w:after="0" w:line="240" w:lineRule="auto"/>
            </w:pPr>
            <w:r>
              <w:rPr>
                <w:sz w:val="18"/>
              </w:rPr>
              <w:t>V007</w:t>
            </w:r>
          </w:p>
        </w:tc>
        <w:tc>
          <w:tcPr>
            <w:tcW w:w="1860" w:type="dxa"/>
            <w:tcMar>
              <w:top w:w="0" w:type="dxa"/>
              <w:bottom w:w="0" w:type="dxa"/>
            </w:tcMar>
            <w:vAlign w:val="center"/>
          </w:tcPr>
          <w:p w14:paraId="572ADD06" w14:textId="77777777" w:rsidR="001B250D" w:rsidRDefault="00000000">
            <w:pPr>
              <w:keepNext/>
              <w:keepLines/>
              <w:spacing w:after="0" w:line="240" w:lineRule="auto"/>
              <w:jc w:val="right"/>
            </w:pPr>
            <w:r>
              <w:rPr>
                <w:sz w:val="18"/>
              </w:rPr>
              <w:t>822,31</w:t>
            </w:r>
          </w:p>
        </w:tc>
        <w:tc>
          <w:tcPr>
            <w:tcW w:w="700" w:type="dxa"/>
            <w:tcMar>
              <w:top w:w="0" w:type="dxa"/>
              <w:bottom w:w="0" w:type="dxa"/>
            </w:tcMar>
            <w:vAlign w:val="center"/>
          </w:tcPr>
          <w:p w14:paraId="226E0B0B" w14:textId="77777777" w:rsidR="001B250D" w:rsidRDefault="00000000">
            <w:pPr>
              <w:keepNext/>
              <w:keepLines/>
              <w:spacing w:after="0" w:line="240" w:lineRule="auto"/>
              <w:jc w:val="right"/>
            </w:pPr>
            <w:r>
              <w:rPr>
                <w:sz w:val="18"/>
              </w:rPr>
              <w:t>-</w:t>
            </w:r>
          </w:p>
        </w:tc>
      </w:tr>
    </w:tbl>
    <w:p w14:paraId="100A7DDA" w14:textId="77777777" w:rsidR="001B250D" w:rsidRDefault="001B250D">
      <w:pPr>
        <w:spacing w:after="0"/>
      </w:pPr>
    </w:p>
    <w:p w14:paraId="7D8AC62B" w14:textId="77777777" w:rsidR="001B250D" w:rsidRDefault="00000000">
      <w:r>
        <w:t>Obveze na dan 31.12.2025. godine iznose 6.468.252,49 eura:</w:t>
      </w:r>
    </w:p>
    <w:p w14:paraId="4FE165BE" w14:textId="77777777" w:rsidR="001B250D" w:rsidRDefault="00000000">
      <w:pPr>
        <w:jc w:val="both"/>
      </w:pPr>
      <w:r>
        <w:t>Obveze Grada – u izvještaju razine 22 iskazane su obveze u iznosu od 5.725.302,48 eura, a kada se iz njih isključi obveza Grada za naplaćene prihode proračunskih korisnika u iznosu od 126.431,06 eura, obveze Grada iznose 5.598.871,42 eura i nedospjele su na dan bilanciranja Najveći dio obaveza odnosi se na dugoročno kreditno zaduženje (glavnica + kamata) u iznosu od 3.438.928,94 eura, dok se ostatak od 2.159.942,48 eura najvećim dijelom odnosi na obveze iz tekućeg poslovanja (obračunate plaće zaposlenika  i materijalni troškovi za mjesec prosinac 2025.) podmirene u siječnju 2026.</w:t>
      </w:r>
    </w:p>
    <w:p w14:paraId="15090943" w14:textId="77777777" w:rsidR="001B250D" w:rsidRDefault="00000000">
      <w:pPr>
        <w:jc w:val="both"/>
      </w:pPr>
      <w:r>
        <w:t xml:space="preserve">Obveze proračunskih korisnika iznose 869.381,07 eura od čega na dospjele obveze otpada iznos od 822,31 eura i njih iskazuje samo OŠ </w:t>
      </w:r>
      <w:proofErr w:type="spellStart"/>
      <w:r>
        <w:t>R.K.Jeretov</w:t>
      </w:r>
      <w:proofErr w:type="spellEnd"/>
      <w:r>
        <w:t>. Preostali iznos od 868.558,76 eura odnosi se na nedospjele obveze za obračunate plaće zaposlenika i materijalne troškove za mjesec prosinac 2025. isplaćene u mjesecu siječnju 2026. </w:t>
      </w:r>
    </w:p>
    <w:p w14:paraId="16B4FDA6" w14:textId="77777777" w:rsidR="001B250D" w:rsidRDefault="001B250D"/>
    <w:p w14:paraId="38738686" w14:textId="77777777" w:rsidR="001B250D" w:rsidRDefault="00000000">
      <w:pPr>
        <w:keepNext/>
        <w:spacing w:line="240" w:lineRule="auto"/>
        <w:jc w:val="center"/>
      </w:pPr>
      <w:r>
        <w:rPr>
          <w:sz w:val="28"/>
        </w:rPr>
        <w:t>Bilješka 55.</w:t>
      </w:r>
    </w:p>
    <w:p w14:paraId="42FC8584" w14:textId="77777777" w:rsidR="001B250D" w:rsidRDefault="00000000">
      <w:pPr>
        <w:spacing w:line="240" w:lineRule="auto"/>
        <w:jc w:val="both"/>
      </w:pPr>
      <w:proofErr w:type="spellStart"/>
      <w:r>
        <w:rPr>
          <w:b/>
        </w:rPr>
        <w:t>Unutargrupne</w:t>
      </w:r>
      <w:proofErr w:type="spellEnd"/>
      <w:r>
        <w:rPr>
          <w:b/>
        </w:rPr>
        <w:t xml:space="preserve"> transakcije koje su u izvještajima eliminirane</w:t>
      </w:r>
    </w:p>
    <w:p w14:paraId="6C9AF3B0" w14:textId="77777777" w:rsidR="001B250D" w:rsidRDefault="00000000">
      <w:r>
        <w:t xml:space="preserve">U ovom izvještaju eliminirane su </w:t>
      </w:r>
      <w:proofErr w:type="spellStart"/>
      <w:r>
        <w:t>unutargrupne</w:t>
      </w:r>
      <w:proofErr w:type="spellEnd"/>
      <w:r>
        <w:t xml:space="preserve"> transakcije ,  </w:t>
      </w:r>
      <w:proofErr w:type="spellStart"/>
      <w:r>
        <w:t>podskupnina</w:t>
      </w:r>
      <w:proofErr w:type="spellEnd"/>
      <w:r>
        <w:t xml:space="preserve"> 367 kod Grada Opatije  - Prijenosi proračunskim korisnicima iz nadležnog proračuna za financiranje rashoda poslovanja u iznosu od 6.816.700,22 eura  te podskupina 671 kod proračunskih korisnika - Prihodi iz nadležnog proračuna za financiranje redovne djelatnosti proračunskih korisnika u ukupnom iznosu za sve proračunske korisnike iz nadležnosti od 6.816.700,22 eura.</w:t>
      </w:r>
    </w:p>
    <w:p w14:paraId="0F83A5DF" w14:textId="77777777" w:rsidR="001B250D" w:rsidRDefault="001B250D"/>
    <w:p w14:paraId="487F0419" w14:textId="77777777" w:rsidR="001B250D" w:rsidRDefault="00000000">
      <w:pPr>
        <w:keepNext/>
        <w:spacing w:line="240" w:lineRule="auto"/>
        <w:jc w:val="center"/>
      </w:pPr>
      <w:r>
        <w:rPr>
          <w:sz w:val="28"/>
        </w:rPr>
        <w:t>Bilješka 56.</w:t>
      </w:r>
    </w:p>
    <w:p w14:paraId="4BCD13BD" w14:textId="77777777" w:rsidR="001B250D" w:rsidRDefault="00000000">
      <w:pPr>
        <w:spacing w:line="240" w:lineRule="auto"/>
        <w:jc w:val="both"/>
      </w:pPr>
      <w:r>
        <w:rPr>
          <w:b/>
        </w:rPr>
        <w:t xml:space="preserve">Manjak ili višak u poslovanju grupe i pregled strukture manjka/viška po proračunskim korisnicima </w:t>
      </w:r>
    </w:p>
    <w:p w14:paraId="157B1FA4" w14:textId="77777777" w:rsidR="001B250D" w:rsidRDefault="00000000">
      <w:r>
        <w:t>U poslovanju grupe ostvaren je konsolidirani višak od 3.452.423,07 eura , strukturno prikazan u nastavku:</w:t>
      </w:r>
    </w:p>
    <w:p w14:paraId="2F799239" w14:textId="77777777" w:rsidR="001B250D" w:rsidRDefault="00000000">
      <w:r>
        <w:t>Grad Opatija - razina 22         4.121.152,61</w:t>
      </w:r>
      <w:r>
        <w:br/>
        <w:t>Dječji vrtić Opatija                   -290.061,34</w:t>
      </w:r>
      <w:r>
        <w:br/>
        <w:t xml:space="preserve">OŠ   </w:t>
      </w:r>
      <w:proofErr w:type="spellStart"/>
      <w:r>
        <w:t>R.K.Jeretova</w:t>
      </w:r>
      <w:proofErr w:type="spellEnd"/>
      <w:r>
        <w:t xml:space="preserve"> Opatija         -246.602,88</w:t>
      </w:r>
      <w:r>
        <w:br/>
        <w:t>GKČ   V.C. Emin Opatija              -23.871,13</w:t>
      </w:r>
      <w:r>
        <w:br/>
        <w:t>J V P  Opatija                              -77.612,77 </w:t>
      </w:r>
      <w:r>
        <w:br/>
        <w:t>Festival Opatija                           -30.581,42</w:t>
      </w:r>
      <w:r>
        <w:br/>
      </w:r>
      <w:r>
        <w:rPr>
          <w:b/>
        </w:rPr>
        <w:t>Stanje 31.12.2025.               3.452.423,07</w:t>
      </w:r>
      <w:r>
        <w:br/>
      </w:r>
      <w:r>
        <w:rPr>
          <w:b/>
        </w:rPr>
        <w:t> </w:t>
      </w:r>
    </w:p>
    <w:p w14:paraId="65EB5EA9" w14:textId="77777777" w:rsidR="001B250D" w:rsidRDefault="001B250D"/>
    <w:sectPr w:rsidR="001B2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D"/>
    <w:rsid w:val="001B250D"/>
    <w:rsid w:val="006565DE"/>
    <w:rsid w:val="00DB70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88C4"/>
  <w15:docId w15:val="{9BEA6DA8-35F6-4D9F-9C78-D3EE38BD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5088</Words>
  <Characters>29003</Characters>
  <Application>Microsoft Office Word</Application>
  <DocSecurity>0</DocSecurity>
  <Lines>241</Lines>
  <Paragraphs>68</Paragraphs>
  <ScaleCrop>false</ScaleCrop>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Klepac</dc:creator>
  <cp:lastModifiedBy>Natasa Klepac</cp:lastModifiedBy>
  <cp:revision>2</cp:revision>
  <cp:lastPrinted>2026-03-02T09:36:00Z</cp:lastPrinted>
  <dcterms:created xsi:type="dcterms:W3CDTF">2026-03-02T09:37:00Z</dcterms:created>
  <dcterms:modified xsi:type="dcterms:W3CDTF">2026-03-02T09:37:00Z</dcterms:modified>
</cp:coreProperties>
</file>